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8AF12" w14:textId="77777777" w:rsidR="003D69D6" w:rsidRDefault="003C5688">
      <w:pPr>
        <w:widowControl/>
        <w:jc w:val="center"/>
        <w:rPr>
          <w:rFonts w:ascii="Times New Roman" w:eastAsia="宋体" w:hAnsi="Times New Roman" w:cs="Times New Roman"/>
          <w:color w:val="333333"/>
          <w:kern w:val="0"/>
          <w:sz w:val="28"/>
          <w:szCs w:val="28"/>
          <w:shd w:val="clear" w:color="auto" w:fill="FFFFFF"/>
        </w:rPr>
      </w:pPr>
      <w:r>
        <w:rPr>
          <w:rFonts w:ascii="Times New Roman" w:eastAsia="宋体" w:hAnsi="Times New Roman" w:cs="Times New Roman" w:hint="eastAsia"/>
          <w:color w:val="333333"/>
          <w:kern w:val="0"/>
          <w:sz w:val="28"/>
          <w:szCs w:val="28"/>
          <w:shd w:val="clear" w:color="auto" w:fill="FFFFFF"/>
        </w:rPr>
        <w:t>附件：</w:t>
      </w:r>
      <w:r>
        <w:rPr>
          <w:rFonts w:ascii="Times New Roman" w:eastAsia="宋体" w:hAnsi="Times New Roman" w:cs="Times New Roman" w:hint="eastAsia"/>
          <w:color w:val="333333"/>
          <w:kern w:val="0"/>
          <w:sz w:val="28"/>
          <w:szCs w:val="28"/>
          <w:shd w:val="clear" w:color="auto" w:fill="FFFFFF"/>
        </w:rPr>
        <w:t>202</w:t>
      </w:r>
      <w:r>
        <w:rPr>
          <w:rFonts w:ascii="Times New Roman" w:eastAsia="宋体" w:hAnsi="Times New Roman" w:cs="Times New Roman"/>
          <w:color w:val="333333"/>
          <w:kern w:val="0"/>
          <w:sz w:val="28"/>
          <w:szCs w:val="28"/>
          <w:shd w:val="clear" w:color="auto" w:fill="FFFFFF"/>
        </w:rPr>
        <w:t>5</w:t>
      </w:r>
      <w:r>
        <w:rPr>
          <w:rFonts w:ascii="Times New Roman" w:eastAsia="宋体" w:hAnsi="Times New Roman" w:cs="Times New Roman" w:hint="eastAsia"/>
          <w:color w:val="333333"/>
          <w:kern w:val="0"/>
          <w:sz w:val="28"/>
          <w:szCs w:val="28"/>
          <w:shd w:val="clear" w:color="auto" w:fill="FFFFFF"/>
        </w:rPr>
        <w:t>年度江苏省土地学会科学技术奖公示材料</w:t>
      </w:r>
    </w:p>
    <w:p w14:paraId="58A12273" w14:textId="77777777" w:rsidR="003D69D6" w:rsidRDefault="003C5688">
      <w:pPr>
        <w:widowControl/>
        <w:spacing w:beforeLines="50" w:before="156" w:afterLines="50" w:after="156"/>
        <w:jc w:val="center"/>
        <w:rPr>
          <w:rFonts w:ascii="Times New Roman" w:eastAsia="宋体" w:hAnsi="Times New Roman" w:cs="Times New Roman"/>
          <w:b/>
          <w:color w:val="333333"/>
          <w:kern w:val="0"/>
          <w:sz w:val="38"/>
          <w:szCs w:val="38"/>
          <w:shd w:val="clear" w:color="auto" w:fill="FFFFFF"/>
        </w:rPr>
      </w:pPr>
      <w:r>
        <w:rPr>
          <w:rFonts w:ascii="Times New Roman" w:eastAsia="宋体" w:hAnsi="Times New Roman" w:cs="Times New Roman" w:hint="eastAsia"/>
          <w:b/>
          <w:color w:val="333333"/>
          <w:kern w:val="0"/>
          <w:sz w:val="38"/>
          <w:szCs w:val="38"/>
          <w:shd w:val="clear" w:color="auto" w:fill="FFFFFF"/>
        </w:rPr>
        <w:t>煤炭资源枯竭地区国土综合整治关键技术与实践</w:t>
      </w:r>
    </w:p>
    <w:p w14:paraId="38B3789C" w14:textId="77777777" w:rsidR="003D69D6" w:rsidRDefault="003C5688">
      <w:pPr>
        <w:widowControl/>
        <w:spacing w:beforeLines="50" w:before="156" w:afterLines="50" w:after="156" w:line="480" w:lineRule="auto"/>
        <w:jc w:val="left"/>
        <w:rPr>
          <w:rFonts w:ascii="Times New Roman" w:eastAsia="宋体" w:hAnsi="Times New Roman" w:cs="宋体"/>
          <w:kern w:val="0"/>
          <w:sz w:val="28"/>
          <w:szCs w:val="24"/>
        </w:rPr>
      </w:pPr>
      <w:r>
        <w:rPr>
          <w:rFonts w:ascii="Times New Roman" w:eastAsia="宋体" w:hAnsi="Times New Roman" w:cs="Times New Roman"/>
          <w:b/>
          <w:sz w:val="28"/>
          <w:szCs w:val="24"/>
        </w:rPr>
        <w:t>一、成果基本情况</w:t>
      </w:r>
    </w:p>
    <w:tbl>
      <w:tblPr>
        <w:tblW w:w="86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6"/>
        <w:gridCol w:w="2117"/>
        <w:gridCol w:w="1001"/>
        <w:gridCol w:w="842"/>
        <w:gridCol w:w="2552"/>
      </w:tblGrid>
      <w:tr w:rsidR="003D69D6" w14:paraId="13E17205" w14:textId="77777777">
        <w:trPr>
          <w:trHeight w:val="1012"/>
          <w:jc w:val="center"/>
        </w:trPr>
        <w:tc>
          <w:tcPr>
            <w:tcW w:w="2176" w:type="dxa"/>
            <w:vAlign w:val="center"/>
          </w:tcPr>
          <w:p w14:paraId="5826C28D"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项目名称</w:t>
            </w:r>
          </w:p>
        </w:tc>
        <w:tc>
          <w:tcPr>
            <w:tcW w:w="6512" w:type="dxa"/>
            <w:gridSpan w:val="4"/>
            <w:vAlign w:val="center"/>
          </w:tcPr>
          <w:p w14:paraId="620278CE" w14:textId="77777777" w:rsidR="003D69D6" w:rsidRDefault="003C5688">
            <w:pPr>
              <w:jc w:val="center"/>
              <w:rPr>
                <w:rFonts w:ascii="Times New Roman" w:eastAsia="宋体" w:hAnsi="Times New Roman" w:cs="Times New Roman"/>
                <w:sz w:val="24"/>
                <w:szCs w:val="24"/>
              </w:rPr>
            </w:pPr>
            <w:bookmarkStart w:id="0" w:name="XMMC"/>
            <w:bookmarkEnd w:id="0"/>
            <w:r>
              <w:rPr>
                <w:rFonts w:ascii="Times New Roman" w:eastAsia="宋体" w:hAnsi="Times New Roman" w:cs="Times New Roman" w:hint="eastAsia"/>
                <w:sz w:val="24"/>
                <w:szCs w:val="24"/>
              </w:rPr>
              <w:t>煤炭资源枯竭地区国土综合整治关键技术与实践</w:t>
            </w:r>
          </w:p>
        </w:tc>
      </w:tr>
      <w:tr w:rsidR="003D69D6" w14:paraId="16D96137" w14:textId="77777777">
        <w:trPr>
          <w:trHeight w:val="1463"/>
          <w:jc w:val="center"/>
        </w:trPr>
        <w:tc>
          <w:tcPr>
            <w:tcW w:w="2176" w:type="dxa"/>
            <w:vAlign w:val="center"/>
          </w:tcPr>
          <w:p w14:paraId="4ADFF4F8"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主要完成人</w:t>
            </w:r>
          </w:p>
        </w:tc>
        <w:tc>
          <w:tcPr>
            <w:tcW w:w="6512" w:type="dxa"/>
            <w:gridSpan w:val="4"/>
            <w:vAlign w:val="center"/>
          </w:tcPr>
          <w:p w14:paraId="0CC5AF0E" w14:textId="4174AF3C" w:rsidR="003D69D6" w:rsidRDefault="003C5688">
            <w:pPr>
              <w:jc w:val="center"/>
              <w:rPr>
                <w:rFonts w:ascii="Times New Roman" w:eastAsia="宋体" w:hAnsi="Times New Roman" w:cs="Times New Roman"/>
                <w:sz w:val="24"/>
                <w:szCs w:val="24"/>
              </w:rPr>
            </w:pPr>
            <w:bookmarkStart w:id="1" w:name="ZYWCR"/>
            <w:bookmarkEnd w:id="1"/>
            <w:r>
              <w:rPr>
                <w:rFonts w:ascii="Times New Roman" w:eastAsia="宋体" w:hAnsi="Times New Roman" w:cs="Times New Roman" w:hint="eastAsia"/>
                <w:sz w:val="24"/>
                <w:szCs w:val="24"/>
              </w:rPr>
              <w:t>闫庆武、渠俊峰、吴子豪、</w:t>
            </w:r>
            <w:r w:rsidR="00622E33" w:rsidRPr="00622E33">
              <w:rPr>
                <w:rFonts w:ascii="Times New Roman" w:eastAsia="宋体" w:hAnsi="Times New Roman" w:cs="Times New Roman" w:hint="eastAsia"/>
                <w:sz w:val="24"/>
                <w:szCs w:val="24"/>
              </w:rPr>
              <w:t>蒲玲媛</w:t>
            </w:r>
            <w:r>
              <w:rPr>
                <w:rFonts w:ascii="Times New Roman" w:eastAsia="宋体" w:hAnsi="Times New Roman" w:cs="Times New Roman" w:hint="eastAsia"/>
                <w:sz w:val="24"/>
                <w:szCs w:val="24"/>
              </w:rPr>
              <w:t>、马伟波、范洪冬、王坤、移明昊、王楠、喻成林、周正标、闫宁、徐志、黄杰、张严硕</w:t>
            </w:r>
          </w:p>
        </w:tc>
      </w:tr>
      <w:tr w:rsidR="003D69D6" w14:paraId="67537DDF" w14:textId="77777777">
        <w:trPr>
          <w:trHeight w:val="1138"/>
          <w:jc w:val="center"/>
        </w:trPr>
        <w:tc>
          <w:tcPr>
            <w:tcW w:w="2176" w:type="dxa"/>
            <w:vAlign w:val="center"/>
          </w:tcPr>
          <w:p w14:paraId="2C732624"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主要完成单位</w:t>
            </w:r>
          </w:p>
        </w:tc>
        <w:tc>
          <w:tcPr>
            <w:tcW w:w="6512" w:type="dxa"/>
            <w:gridSpan w:val="4"/>
            <w:vAlign w:val="center"/>
          </w:tcPr>
          <w:p w14:paraId="588AFE88" w14:textId="77777777" w:rsidR="003D69D6" w:rsidRDefault="003C5688">
            <w:pPr>
              <w:jc w:val="center"/>
              <w:rPr>
                <w:rFonts w:ascii="Times New Roman" w:eastAsia="宋体" w:hAnsi="Times New Roman" w:cs="Times New Roman"/>
                <w:sz w:val="24"/>
                <w:szCs w:val="24"/>
              </w:rPr>
            </w:pPr>
            <w:bookmarkStart w:id="2" w:name="ZYTJDW"/>
            <w:bookmarkEnd w:id="2"/>
            <w:r>
              <w:rPr>
                <w:rFonts w:ascii="Times New Roman" w:eastAsia="宋体" w:hAnsi="Times New Roman" w:cs="Times New Roman"/>
                <w:sz w:val="24"/>
                <w:szCs w:val="24"/>
              </w:rPr>
              <w:t>中国矿业大学、</w:t>
            </w:r>
            <w:r>
              <w:rPr>
                <w:rFonts w:ascii="Times New Roman" w:eastAsia="宋体" w:hAnsi="Times New Roman" w:cs="Times New Roman" w:hint="eastAsia"/>
                <w:sz w:val="24"/>
                <w:szCs w:val="24"/>
              </w:rPr>
              <w:t>徐州市自然资源学会、</w:t>
            </w:r>
            <w:r>
              <w:rPr>
                <w:rFonts w:ascii="Times New Roman" w:eastAsia="宋体" w:hAnsi="Times New Roman" w:cs="Times New Roman"/>
                <w:sz w:val="24"/>
                <w:szCs w:val="24"/>
              </w:rPr>
              <w:t>徐州市生态文明建设研究院、</w:t>
            </w:r>
            <w:r>
              <w:rPr>
                <w:rFonts w:ascii="Times New Roman" w:eastAsia="宋体" w:hAnsi="Times New Roman" w:cs="Times New Roman" w:hint="eastAsia"/>
                <w:sz w:val="24"/>
                <w:szCs w:val="24"/>
              </w:rPr>
              <w:t>生态环境部南京环境科学研究所</w:t>
            </w:r>
          </w:p>
        </w:tc>
      </w:tr>
      <w:tr w:rsidR="003D69D6" w14:paraId="199B5087" w14:textId="77777777">
        <w:trPr>
          <w:trHeight w:val="2211"/>
          <w:jc w:val="center"/>
        </w:trPr>
        <w:tc>
          <w:tcPr>
            <w:tcW w:w="2176" w:type="dxa"/>
            <w:vAlign w:val="center"/>
          </w:tcPr>
          <w:p w14:paraId="0910C562"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推荐单位</w:t>
            </w:r>
          </w:p>
          <w:p w14:paraId="6370ED42"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（盖章）</w:t>
            </w:r>
          </w:p>
        </w:tc>
        <w:tc>
          <w:tcPr>
            <w:tcW w:w="6512" w:type="dxa"/>
            <w:gridSpan w:val="4"/>
            <w:vAlign w:val="center"/>
          </w:tcPr>
          <w:p w14:paraId="7E4AE0B4" w14:textId="77777777" w:rsidR="003D69D6" w:rsidRDefault="003C5688">
            <w:pPr>
              <w:jc w:val="center"/>
              <w:rPr>
                <w:rFonts w:ascii="Times New Roman" w:eastAsia="宋体" w:hAnsi="Times New Roman" w:cs="Times New Roman"/>
                <w:sz w:val="24"/>
                <w:szCs w:val="24"/>
              </w:rPr>
            </w:pPr>
            <w:bookmarkStart w:id="3" w:name="TJDWMC"/>
            <w:bookmarkEnd w:id="3"/>
            <w:r>
              <w:rPr>
                <w:rFonts w:ascii="Times New Roman" w:eastAsia="宋体" w:hAnsi="Times New Roman" w:cs="Times New Roman"/>
                <w:sz w:val="24"/>
                <w:szCs w:val="24"/>
              </w:rPr>
              <w:t>中国矿业大学</w:t>
            </w:r>
          </w:p>
        </w:tc>
      </w:tr>
      <w:tr w:rsidR="003D69D6" w14:paraId="56C269B6" w14:textId="77777777">
        <w:trPr>
          <w:trHeight w:val="1264"/>
          <w:jc w:val="center"/>
        </w:trPr>
        <w:tc>
          <w:tcPr>
            <w:tcW w:w="2176" w:type="dxa"/>
            <w:vAlign w:val="center"/>
          </w:tcPr>
          <w:p w14:paraId="766D1DB0"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联系人</w:t>
            </w:r>
          </w:p>
        </w:tc>
        <w:tc>
          <w:tcPr>
            <w:tcW w:w="2117" w:type="dxa"/>
            <w:vAlign w:val="center"/>
          </w:tcPr>
          <w:p w14:paraId="5318D030" w14:textId="77777777" w:rsidR="003D69D6" w:rsidRDefault="003C5688">
            <w:pPr>
              <w:jc w:val="center"/>
              <w:rPr>
                <w:rFonts w:ascii="Times New Roman" w:eastAsia="宋体" w:hAnsi="Times New Roman" w:cs="Times New Roman"/>
                <w:sz w:val="24"/>
                <w:szCs w:val="24"/>
              </w:rPr>
            </w:pPr>
            <w:bookmarkStart w:id="4" w:name="LXR"/>
            <w:bookmarkEnd w:id="4"/>
            <w:r>
              <w:rPr>
                <w:rFonts w:ascii="Times New Roman" w:eastAsia="宋体" w:hAnsi="Times New Roman" w:cs="Times New Roman"/>
                <w:sz w:val="24"/>
                <w:szCs w:val="24"/>
              </w:rPr>
              <w:t>闫庆武</w:t>
            </w:r>
          </w:p>
        </w:tc>
        <w:tc>
          <w:tcPr>
            <w:tcW w:w="1843" w:type="dxa"/>
            <w:gridSpan w:val="2"/>
            <w:vAlign w:val="center"/>
          </w:tcPr>
          <w:p w14:paraId="79F7A6F6"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联系电话</w:t>
            </w:r>
          </w:p>
        </w:tc>
        <w:tc>
          <w:tcPr>
            <w:tcW w:w="2552" w:type="dxa"/>
            <w:vAlign w:val="center"/>
          </w:tcPr>
          <w:p w14:paraId="2CCD304B" w14:textId="77777777" w:rsidR="003D69D6" w:rsidRDefault="003C5688">
            <w:pPr>
              <w:jc w:val="center"/>
              <w:rPr>
                <w:rFonts w:ascii="Times New Roman" w:eastAsia="宋体" w:hAnsi="Times New Roman" w:cs="Times New Roman"/>
                <w:sz w:val="24"/>
                <w:szCs w:val="24"/>
              </w:rPr>
            </w:pPr>
            <w:bookmarkStart w:id="5" w:name="LXTH"/>
            <w:bookmarkEnd w:id="5"/>
            <w:r>
              <w:rPr>
                <w:rFonts w:ascii="Times New Roman" w:eastAsia="宋体" w:hAnsi="Times New Roman" w:cs="Times New Roman"/>
                <w:sz w:val="24"/>
                <w:szCs w:val="24"/>
              </w:rPr>
              <w:t>13775949985</w:t>
            </w:r>
          </w:p>
        </w:tc>
      </w:tr>
      <w:tr w:rsidR="003D69D6" w14:paraId="53CA3F9F" w14:textId="77777777">
        <w:trPr>
          <w:trHeight w:val="1396"/>
          <w:jc w:val="center"/>
        </w:trPr>
        <w:tc>
          <w:tcPr>
            <w:tcW w:w="2176" w:type="dxa"/>
            <w:vAlign w:val="center"/>
          </w:tcPr>
          <w:p w14:paraId="7B5E5B5B"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任务来源</w:t>
            </w:r>
          </w:p>
        </w:tc>
        <w:tc>
          <w:tcPr>
            <w:tcW w:w="6512" w:type="dxa"/>
            <w:gridSpan w:val="4"/>
            <w:vAlign w:val="center"/>
          </w:tcPr>
          <w:p w14:paraId="6DE3B601" w14:textId="77777777" w:rsidR="003D69D6" w:rsidRDefault="003C5688">
            <w:pPr>
              <w:jc w:val="center"/>
              <w:rPr>
                <w:rFonts w:ascii="Times New Roman" w:eastAsia="宋体" w:hAnsi="Times New Roman" w:cs="Times New Roman"/>
                <w:color w:val="000000"/>
                <w:sz w:val="24"/>
                <w:szCs w:val="24"/>
              </w:rPr>
            </w:pPr>
            <w:bookmarkStart w:id="6" w:name="RWLY"/>
            <w:bookmarkEnd w:id="6"/>
            <w:r>
              <w:rPr>
                <w:rFonts w:ascii="Times New Roman" w:eastAsia="宋体" w:hAnsi="Times New Roman" w:cs="Times New Roman" w:hint="eastAsia"/>
                <w:color w:val="000000"/>
                <w:sz w:val="24"/>
                <w:szCs w:val="24"/>
              </w:rPr>
              <w:t>国家科技基础性工作专项课题；内蒙古自治区科技计划项目；国土资源部土地整治中心外协项目；国家自然科学基金青年项目</w:t>
            </w:r>
          </w:p>
        </w:tc>
      </w:tr>
      <w:tr w:rsidR="003D69D6" w14:paraId="2A8169EE" w14:textId="77777777">
        <w:trPr>
          <w:trHeight w:val="1150"/>
          <w:jc w:val="center"/>
        </w:trPr>
        <w:tc>
          <w:tcPr>
            <w:tcW w:w="2176" w:type="dxa"/>
            <w:vAlign w:val="center"/>
          </w:tcPr>
          <w:p w14:paraId="10F788F6"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项目起止时间</w:t>
            </w:r>
          </w:p>
        </w:tc>
        <w:tc>
          <w:tcPr>
            <w:tcW w:w="3118" w:type="dxa"/>
            <w:gridSpan w:val="2"/>
            <w:vAlign w:val="center"/>
          </w:tcPr>
          <w:p w14:paraId="034E02D0"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起始：</w:t>
            </w:r>
            <w:bookmarkStart w:id="7" w:name="XMTIME_A"/>
            <w:bookmarkEnd w:id="7"/>
            <w:r>
              <w:rPr>
                <w:rFonts w:ascii="Times New Roman" w:eastAsia="宋体" w:hAnsi="Times New Roman" w:cs="Times New Roman"/>
                <w:sz w:val="24"/>
                <w:szCs w:val="24"/>
              </w:rPr>
              <w:t>2010</w:t>
            </w:r>
            <w:r>
              <w:rPr>
                <w:rFonts w:ascii="Times New Roman" w:eastAsia="宋体" w:hAnsi="Times New Roman" w:cs="Times New Roman"/>
                <w:sz w:val="24"/>
                <w:szCs w:val="24"/>
              </w:rPr>
              <w:t>年</w:t>
            </w:r>
            <w:r>
              <w:rPr>
                <w:rFonts w:ascii="Times New Roman" w:eastAsia="宋体" w:hAnsi="Times New Roman" w:cs="Times New Roman"/>
                <w:sz w:val="24"/>
                <w:szCs w:val="24"/>
              </w:rPr>
              <w:t>1</w:t>
            </w:r>
            <w:r>
              <w:rPr>
                <w:rFonts w:ascii="Times New Roman" w:eastAsia="宋体" w:hAnsi="Times New Roman" w:cs="Times New Roman"/>
                <w:sz w:val="24"/>
                <w:szCs w:val="24"/>
              </w:rPr>
              <w:t>月</w:t>
            </w:r>
          </w:p>
        </w:tc>
        <w:tc>
          <w:tcPr>
            <w:tcW w:w="3394" w:type="dxa"/>
            <w:gridSpan w:val="2"/>
            <w:vAlign w:val="center"/>
          </w:tcPr>
          <w:p w14:paraId="62CE96F0" w14:textId="77777777" w:rsidR="003D69D6" w:rsidRDefault="003C5688">
            <w:pPr>
              <w:jc w:val="center"/>
              <w:rPr>
                <w:rFonts w:ascii="Times New Roman" w:eastAsia="宋体" w:hAnsi="Times New Roman" w:cs="Times New Roman"/>
                <w:sz w:val="24"/>
                <w:szCs w:val="24"/>
              </w:rPr>
            </w:pPr>
            <w:r>
              <w:rPr>
                <w:rFonts w:ascii="Times New Roman" w:eastAsia="宋体" w:hAnsi="Times New Roman" w:cs="Times New Roman"/>
                <w:sz w:val="24"/>
                <w:szCs w:val="24"/>
              </w:rPr>
              <w:t>完成：</w:t>
            </w:r>
            <w:bookmarkStart w:id="8" w:name="XMTIME_Z"/>
            <w:bookmarkEnd w:id="8"/>
            <w:r>
              <w:rPr>
                <w:rFonts w:ascii="Times New Roman" w:eastAsia="宋体" w:hAnsi="Times New Roman" w:cs="Times New Roman"/>
                <w:sz w:val="24"/>
                <w:szCs w:val="24"/>
              </w:rPr>
              <w:t>2023</w:t>
            </w:r>
            <w:r>
              <w:rPr>
                <w:rFonts w:ascii="Times New Roman" w:eastAsia="宋体" w:hAnsi="Times New Roman" w:cs="Times New Roman"/>
                <w:sz w:val="24"/>
                <w:szCs w:val="24"/>
              </w:rPr>
              <w:t>年</w:t>
            </w:r>
            <w:r>
              <w:rPr>
                <w:rFonts w:ascii="Times New Roman" w:eastAsia="宋体" w:hAnsi="Times New Roman" w:cs="Times New Roman"/>
                <w:sz w:val="24"/>
                <w:szCs w:val="24"/>
              </w:rPr>
              <w:t>12</w:t>
            </w:r>
            <w:r>
              <w:rPr>
                <w:rFonts w:ascii="Times New Roman" w:eastAsia="宋体" w:hAnsi="Times New Roman" w:cs="Times New Roman"/>
                <w:sz w:val="24"/>
                <w:szCs w:val="24"/>
              </w:rPr>
              <w:t>月</w:t>
            </w:r>
          </w:p>
        </w:tc>
      </w:tr>
      <w:tr w:rsidR="003D69D6" w14:paraId="05ABB3F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59"/>
          <w:jc w:val="center"/>
        </w:trPr>
        <w:tc>
          <w:tcPr>
            <w:tcW w:w="2176"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41C999CA" w14:textId="77777777" w:rsidR="003D69D6" w:rsidRDefault="003C5688">
            <w:pPr>
              <w:autoSpaceDN w:val="0"/>
              <w:jc w:val="center"/>
              <w:rPr>
                <w:rFonts w:ascii="Times New Roman" w:eastAsia="宋体" w:hAnsi="Times New Roman" w:cs="Times New Roman"/>
                <w:sz w:val="24"/>
                <w:szCs w:val="24"/>
              </w:rPr>
            </w:pPr>
            <w:r>
              <w:rPr>
                <w:rFonts w:ascii="Times New Roman" w:eastAsia="宋体" w:hAnsi="Times New Roman" w:cs="Times New Roman"/>
                <w:sz w:val="24"/>
                <w:szCs w:val="24"/>
              </w:rPr>
              <w:t>申报单位申报等级</w:t>
            </w:r>
          </w:p>
        </w:tc>
        <w:tc>
          <w:tcPr>
            <w:tcW w:w="6512" w:type="dxa"/>
            <w:gridSpan w:val="4"/>
            <w:tcBorders>
              <w:top w:val="single" w:sz="4" w:space="0" w:color="auto"/>
              <w:left w:val="single" w:sz="4" w:space="0" w:color="auto"/>
              <w:bottom w:val="single" w:sz="4" w:space="0" w:color="auto"/>
              <w:right w:val="single" w:sz="4" w:space="0" w:color="000000"/>
            </w:tcBorders>
            <w:vAlign w:val="center"/>
          </w:tcPr>
          <w:p w14:paraId="6E1DBB6A" w14:textId="77777777" w:rsidR="003D69D6" w:rsidRDefault="003C5688">
            <w:pPr>
              <w:autoSpaceDN w:val="0"/>
              <w:jc w:val="center"/>
              <w:rPr>
                <w:rFonts w:ascii="Times New Roman" w:eastAsia="宋体" w:hAnsi="Times New Roman" w:cs="Times New Roman"/>
                <w:sz w:val="24"/>
                <w:szCs w:val="24"/>
              </w:rPr>
            </w:pPr>
            <w:bookmarkStart w:id="9" w:name="SBDJ"/>
            <w:bookmarkEnd w:id="9"/>
            <w:r>
              <w:rPr>
                <w:rFonts w:ascii="Times New Roman" w:eastAsia="宋体" w:hAnsi="Times New Roman" w:cs="Times New Roman" w:hint="eastAsia"/>
                <w:sz w:val="24"/>
                <w:szCs w:val="24"/>
              </w:rPr>
              <w:t>一</w:t>
            </w:r>
            <w:r>
              <w:rPr>
                <w:rFonts w:ascii="Times New Roman" w:eastAsia="宋体" w:hAnsi="Times New Roman" w:cs="Times New Roman"/>
                <w:sz w:val="24"/>
                <w:szCs w:val="24"/>
              </w:rPr>
              <w:t>等奖</w:t>
            </w:r>
            <w:bookmarkStart w:id="10" w:name="TJDJ"/>
            <w:bookmarkEnd w:id="10"/>
          </w:p>
        </w:tc>
      </w:tr>
    </w:tbl>
    <w:p w14:paraId="2723D848" w14:textId="77777777" w:rsidR="003D69D6" w:rsidRDefault="003C5688">
      <w:pPr>
        <w:widowControl/>
        <w:spacing w:beforeLines="50" w:before="156" w:afterLines="50" w:after="156" w:line="480" w:lineRule="auto"/>
        <w:jc w:val="left"/>
        <w:rPr>
          <w:rFonts w:ascii="Times New Roman" w:eastAsia="宋体" w:hAnsi="Times New Roman" w:cs="宋体"/>
          <w:kern w:val="0"/>
          <w:sz w:val="28"/>
          <w:szCs w:val="24"/>
        </w:rPr>
      </w:pPr>
      <w:r>
        <w:rPr>
          <w:rFonts w:ascii="Times New Roman" w:eastAsia="宋体" w:hAnsi="Times New Roman" w:cs="Times New Roman"/>
          <w:b/>
          <w:color w:val="333333"/>
          <w:kern w:val="0"/>
          <w:sz w:val="28"/>
          <w:szCs w:val="24"/>
          <w:shd w:val="clear" w:color="auto" w:fill="FFFFFF"/>
        </w:rPr>
        <w:lastRenderedPageBreak/>
        <w:t>二、推荐意见</w:t>
      </w:r>
    </w:p>
    <w:p w14:paraId="252D1BEC" w14:textId="77777777" w:rsidR="003D69D6" w:rsidRDefault="003C5688">
      <w:pPr>
        <w:spacing w:line="400" w:lineRule="exact"/>
        <w:ind w:firstLineChars="200" w:firstLine="480"/>
        <w:rPr>
          <w:rFonts w:ascii="Times New Roman" w:hAnsi="Times New Roman" w:cs="Times New Roman"/>
          <w:color w:val="333333"/>
          <w:sz w:val="24"/>
          <w:szCs w:val="24"/>
          <w:shd w:val="clear" w:color="auto" w:fill="FFFFFF"/>
        </w:rPr>
      </w:pPr>
      <w:r>
        <w:rPr>
          <w:rFonts w:ascii="Times New Roman" w:hAnsi="Times New Roman" w:cs="Times New Roman" w:hint="eastAsia"/>
          <w:color w:val="333333"/>
          <w:sz w:val="24"/>
          <w:szCs w:val="24"/>
          <w:shd w:val="clear" w:color="auto" w:fill="FFFFFF"/>
        </w:rPr>
        <w:t>中国矿业大学、徐州市自然资源学会、徐州市生态文明建设研究院和生态环境部南京环境科学研究所和联合完成的“煤炭资源枯竭地区国土综合整治关键技术与实践”，针对煤炭资源枯竭地区生态修复需求，通过时序</w:t>
      </w:r>
      <w:r>
        <w:rPr>
          <w:rFonts w:ascii="Times New Roman" w:hAnsi="Times New Roman" w:cs="Times New Roman" w:hint="eastAsia"/>
          <w:color w:val="333333"/>
          <w:sz w:val="24"/>
          <w:szCs w:val="24"/>
          <w:shd w:val="clear" w:color="auto" w:fill="FFFFFF"/>
        </w:rPr>
        <w:t>InSAR</w:t>
      </w:r>
      <w:r>
        <w:rPr>
          <w:rFonts w:ascii="Times New Roman" w:hAnsi="Times New Roman" w:cs="Times New Roman" w:hint="eastAsia"/>
          <w:color w:val="333333"/>
          <w:sz w:val="24"/>
          <w:szCs w:val="24"/>
          <w:shd w:val="clear" w:color="auto" w:fill="FFFFFF"/>
        </w:rPr>
        <w:t>技术融合极化信息自适应同质像元选取、主相位时频滤波优化及极化小波大气校正模型，实现开采沉陷的高密度精准监测，形成矿区安全预警体系。同时，集成三维植被指数模型、多光谱</w:t>
      </w:r>
      <w:r>
        <w:rPr>
          <w:rFonts w:ascii="Times New Roman" w:hAnsi="Times New Roman" w:cs="Times New Roman" w:hint="eastAsia"/>
          <w:color w:val="333333"/>
          <w:sz w:val="24"/>
          <w:szCs w:val="24"/>
          <w:shd w:val="clear" w:color="auto" w:fill="FFFFFF"/>
        </w:rPr>
        <w:t>-LiDAR</w:t>
      </w:r>
      <w:r>
        <w:rPr>
          <w:rFonts w:ascii="Times New Roman" w:hAnsi="Times New Roman" w:cs="Times New Roman" w:hint="eastAsia"/>
          <w:color w:val="333333"/>
          <w:sz w:val="24"/>
          <w:szCs w:val="24"/>
          <w:shd w:val="clear" w:color="auto" w:fill="FFFFFF"/>
        </w:rPr>
        <w:t>数据融合与机器学习算法，建立“空天地”一体化土地要素监测体系，揭示土壤有机碳和重金属污染空间分异机制，提出分区管控和要素协同的综合治理方</w:t>
      </w:r>
      <w:r>
        <w:rPr>
          <w:rFonts w:ascii="Times New Roman" w:hAnsi="Times New Roman" w:cs="Times New Roman" w:hint="eastAsia"/>
          <w:color w:val="333333"/>
          <w:sz w:val="24"/>
          <w:szCs w:val="24"/>
          <w:shd w:val="clear" w:color="auto" w:fill="FFFFFF"/>
        </w:rPr>
        <w:t>案。此外，基于三水转化理论构建水土资源多目标优化配置模型，创新</w:t>
      </w:r>
      <w:r>
        <w:rPr>
          <w:rFonts w:ascii="Times New Roman" w:hAnsi="Times New Roman" w:cs="Times New Roman" w:hint="eastAsia"/>
          <w:color w:val="333333"/>
          <w:sz w:val="24"/>
          <w:szCs w:val="24"/>
          <w:shd w:val="clear" w:color="auto" w:fill="FFFFFF"/>
        </w:rPr>
        <w:t>N</w:t>
      </w:r>
      <w:r>
        <w:rPr>
          <w:rFonts w:ascii="Times New Roman" w:hAnsi="Times New Roman" w:cs="Times New Roman" w:hint="eastAsia"/>
          <w:color w:val="333333"/>
          <w:sz w:val="24"/>
          <w:szCs w:val="24"/>
          <w:shd w:val="clear" w:color="auto" w:fill="FFFFFF"/>
        </w:rPr>
        <w:t>级梯级水网调控格局和“细胞壁式”沉陷湿地生态屏障，融合防渗堤、植物缓冲带及沉水植物自净化系统，形成水土资源协同调控与湿地功能重构技术体系，最终实现矿区地表稳定性提升、污染风险防控及生态系统功能恢复，为煤炭资源枯竭地区国土综合整治提供系统性解决方案。</w:t>
      </w:r>
    </w:p>
    <w:p w14:paraId="4E94F770" w14:textId="77777777" w:rsidR="003D69D6" w:rsidRDefault="003C5688">
      <w:pPr>
        <w:spacing w:line="400" w:lineRule="exact"/>
        <w:ind w:firstLineChars="200" w:firstLine="480"/>
        <w:rPr>
          <w:rFonts w:ascii="Times New Roman" w:hAnsi="Times New Roman" w:cs="Times New Roman"/>
          <w:color w:val="333333"/>
          <w:sz w:val="24"/>
          <w:szCs w:val="24"/>
          <w:shd w:val="clear" w:color="auto" w:fill="FFFFFF"/>
        </w:rPr>
      </w:pPr>
      <w:r>
        <w:rPr>
          <w:rFonts w:ascii="Times New Roman" w:hAnsi="Times New Roman" w:cs="Times New Roman" w:hint="eastAsia"/>
          <w:color w:val="333333"/>
          <w:sz w:val="24"/>
          <w:szCs w:val="24"/>
          <w:shd w:val="clear" w:color="auto" w:fill="FFFFFF"/>
        </w:rPr>
        <w:t>该项目已获得相应成果：授权发明专利</w:t>
      </w:r>
      <w:r>
        <w:rPr>
          <w:rFonts w:ascii="Times New Roman" w:hAnsi="Times New Roman" w:cs="Times New Roman"/>
          <w:color w:val="333333"/>
          <w:sz w:val="24"/>
          <w:szCs w:val="24"/>
          <w:shd w:val="clear" w:color="auto" w:fill="FFFFFF"/>
        </w:rPr>
        <w:t>9</w:t>
      </w:r>
      <w:r>
        <w:rPr>
          <w:rFonts w:ascii="Times New Roman" w:hAnsi="Times New Roman" w:cs="Times New Roman" w:hint="eastAsia"/>
          <w:color w:val="333333"/>
          <w:sz w:val="24"/>
          <w:szCs w:val="24"/>
          <w:shd w:val="clear" w:color="auto" w:fill="FFFFFF"/>
        </w:rPr>
        <w:t>项，编制行业标准</w:t>
      </w:r>
      <w:r>
        <w:rPr>
          <w:rFonts w:ascii="Times New Roman" w:hAnsi="Times New Roman" w:cs="Times New Roman"/>
          <w:color w:val="333333"/>
          <w:sz w:val="24"/>
          <w:szCs w:val="24"/>
          <w:shd w:val="clear" w:color="auto" w:fill="FFFFFF"/>
        </w:rPr>
        <w:t>1</w:t>
      </w:r>
      <w:r>
        <w:rPr>
          <w:rFonts w:ascii="Times New Roman" w:hAnsi="Times New Roman" w:cs="Times New Roman" w:hint="eastAsia"/>
          <w:color w:val="333333"/>
          <w:sz w:val="24"/>
          <w:szCs w:val="24"/>
          <w:shd w:val="clear" w:color="auto" w:fill="FFFFFF"/>
        </w:rPr>
        <w:t>部；发表学术论文</w:t>
      </w:r>
      <w:r>
        <w:rPr>
          <w:rFonts w:ascii="Times New Roman" w:hAnsi="Times New Roman" w:cs="Times New Roman"/>
          <w:color w:val="333333"/>
          <w:sz w:val="24"/>
          <w:szCs w:val="24"/>
          <w:shd w:val="clear" w:color="auto" w:fill="FFFFFF"/>
        </w:rPr>
        <w:t>20</w:t>
      </w:r>
      <w:r>
        <w:rPr>
          <w:rFonts w:ascii="Times New Roman" w:hAnsi="Times New Roman" w:cs="Times New Roman" w:hint="eastAsia"/>
          <w:color w:val="333333"/>
          <w:sz w:val="24"/>
          <w:szCs w:val="24"/>
          <w:shd w:val="clear" w:color="auto" w:fill="FFFFFF"/>
        </w:rPr>
        <w:t>余篇，其中</w:t>
      </w:r>
      <w:r>
        <w:rPr>
          <w:rFonts w:ascii="Times New Roman" w:hAnsi="Times New Roman" w:cs="Times New Roman" w:hint="eastAsia"/>
          <w:color w:val="333333"/>
          <w:sz w:val="24"/>
          <w:szCs w:val="24"/>
          <w:shd w:val="clear" w:color="auto" w:fill="FFFFFF"/>
        </w:rPr>
        <w:t>SCI/SCIE</w:t>
      </w:r>
      <w:r>
        <w:rPr>
          <w:rFonts w:ascii="Times New Roman" w:hAnsi="Times New Roman" w:cs="Times New Roman" w:hint="eastAsia"/>
          <w:color w:val="333333"/>
          <w:sz w:val="24"/>
          <w:szCs w:val="24"/>
          <w:shd w:val="clear" w:color="auto" w:fill="FFFFFF"/>
        </w:rPr>
        <w:t>收录</w:t>
      </w:r>
      <w:r>
        <w:rPr>
          <w:rFonts w:ascii="Times New Roman" w:hAnsi="Times New Roman" w:cs="Times New Roman"/>
          <w:color w:val="333333"/>
          <w:sz w:val="24"/>
          <w:szCs w:val="24"/>
          <w:shd w:val="clear" w:color="auto" w:fill="FFFFFF"/>
        </w:rPr>
        <w:t>14</w:t>
      </w:r>
      <w:r>
        <w:rPr>
          <w:rFonts w:ascii="Times New Roman" w:hAnsi="Times New Roman" w:cs="Times New Roman" w:hint="eastAsia"/>
          <w:color w:val="333333"/>
          <w:sz w:val="24"/>
          <w:szCs w:val="24"/>
          <w:shd w:val="clear" w:color="auto" w:fill="FFFFFF"/>
        </w:rPr>
        <w:t>篇、</w:t>
      </w:r>
      <w:r>
        <w:rPr>
          <w:rFonts w:ascii="Times New Roman" w:hAnsi="Times New Roman" w:cs="Times New Roman" w:hint="eastAsia"/>
          <w:color w:val="333333"/>
          <w:sz w:val="24"/>
          <w:szCs w:val="24"/>
          <w:shd w:val="clear" w:color="auto" w:fill="FFFFFF"/>
        </w:rPr>
        <w:t>EI</w:t>
      </w:r>
      <w:r>
        <w:rPr>
          <w:rFonts w:ascii="Times New Roman" w:hAnsi="Times New Roman" w:cs="Times New Roman" w:hint="eastAsia"/>
          <w:color w:val="333333"/>
          <w:sz w:val="24"/>
          <w:szCs w:val="24"/>
          <w:shd w:val="clear" w:color="auto" w:fill="FFFFFF"/>
        </w:rPr>
        <w:t>收录</w:t>
      </w:r>
      <w:r>
        <w:rPr>
          <w:rFonts w:ascii="Times New Roman" w:hAnsi="Times New Roman" w:cs="Times New Roman"/>
          <w:color w:val="333333"/>
          <w:sz w:val="24"/>
          <w:szCs w:val="24"/>
          <w:shd w:val="clear" w:color="auto" w:fill="FFFFFF"/>
        </w:rPr>
        <w:t>1</w:t>
      </w:r>
      <w:r>
        <w:rPr>
          <w:rFonts w:ascii="Times New Roman" w:hAnsi="Times New Roman" w:cs="Times New Roman" w:hint="eastAsia"/>
          <w:color w:val="333333"/>
          <w:sz w:val="24"/>
          <w:szCs w:val="24"/>
          <w:shd w:val="clear" w:color="auto" w:fill="FFFFFF"/>
        </w:rPr>
        <w:t>篇，</w:t>
      </w:r>
      <w:r>
        <w:rPr>
          <w:rFonts w:ascii="Times New Roman" w:hAnsi="Times New Roman" w:cs="Times New Roman" w:hint="eastAsia"/>
          <w:color w:val="333333"/>
          <w:sz w:val="24"/>
          <w:szCs w:val="24"/>
          <w:shd w:val="clear" w:color="auto" w:fill="FFFFFF"/>
        </w:rPr>
        <w:t>CSSCI</w:t>
      </w:r>
      <w:r>
        <w:rPr>
          <w:rFonts w:ascii="Times New Roman" w:hAnsi="Times New Roman" w:cs="Times New Roman" w:hint="eastAsia"/>
          <w:color w:val="333333"/>
          <w:sz w:val="24"/>
          <w:szCs w:val="24"/>
          <w:shd w:val="clear" w:color="auto" w:fill="FFFFFF"/>
        </w:rPr>
        <w:t>收录</w:t>
      </w:r>
      <w:r>
        <w:rPr>
          <w:rFonts w:ascii="Times New Roman" w:hAnsi="Times New Roman" w:cs="Times New Roman"/>
          <w:color w:val="333333"/>
          <w:sz w:val="24"/>
          <w:szCs w:val="24"/>
          <w:shd w:val="clear" w:color="auto" w:fill="FFFFFF"/>
        </w:rPr>
        <w:t>1</w:t>
      </w:r>
      <w:r>
        <w:rPr>
          <w:rFonts w:ascii="Times New Roman" w:hAnsi="Times New Roman" w:cs="Times New Roman" w:hint="eastAsia"/>
          <w:color w:val="333333"/>
          <w:sz w:val="24"/>
          <w:szCs w:val="24"/>
          <w:shd w:val="clear" w:color="auto" w:fill="FFFFFF"/>
        </w:rPr>
        <w:t>篇；出版专著</w:t>
      </w:r>
      <w:r>
        <w:rPr>
          <w:rFonts w:ascii="Times New Roman" w:hAnsi="Times New Roman" w:cs="Times New Roman"/>
          <w:color w:val="333333"/>
          <w:sz w:val="24"/>
          <w:szCs w:val="24"/>
          <w:shd w:val="clear" w:color="auto" w:fill="FFFFFF"/>
        </w:rPr>
        <w:t>9</w:t>
      </w:r>
      <w:r>
        <w:rPr>
          <w:rFonts w:ascii="Times New Roman" w:hAnsi="Times New Roman" w:cs="Times New Roman" w:hint="eastAsia"/>
          <w:color w:val="333333"/>
          <w:sz w:val="24"/>
          <w:szCs w:val="24"/>
          <w:shd w:val="clear" w:color="auto" w:fill="FFFFFF"/>
        </w:rPr>
        <w:t>部。</w:t>
      </w:r>
    </w:p>
    <w:p w14:paraId="43E56133" w14:textId="77777777" w:rsidR="003D69D6" w:rsidRDefault="003C5688">
      <w:pPr>
        <w:spacing w:line="400" w:lineRule="exact"/>
        <w:ind w:firstLineChars="200" w:firstLine="480"/>
        <w:rPr>
          <w:rFonts w:ascii="Times New Roman" w:hAnsi="Times New Roman" w:cs="Times New Roman"/>
          <w:color w:val="333333"/>
          <w:sz w:val="24"/>
          <w:szCs w:val="24"/>
          <w:shd w:val="clear" w:color="auto" w:fill="FFFFFF"/>
        </w:rPr>
      </w:pPr>
      <w:r>
        <w:rPr>
          <w:rFonts w:ascii="Times New Roman" w:hAnsi="Times New Roman" w:cs="Times New Roman" w:hint="eastAsia"/>
          <w:color w:val="333333"/>
          <w:sz w:val="24"/>
          <w:szCs w:val="24"/>
          <w:shd w:val="clear" w:color="auto" w:fill="FFFFFF"/>
        </w:rPr>
        <w:t>该研究的创新成果在煤炭资源枯竭地区，</w:t>
      </w:r>
      <w:r>
        <w:rPr>
          <w:rFonts w:ascii="Times New Roman" w:hAnsi="Times New Roman" w:cs="Times New Roman" w:hint="eastAsia"/>
          <w:color w:val="333333"/>
          <w:sz w:val="24"/>
          <w:szCs w:val="24"/>
          <w:shd w:val="clear" w:color="auto" w:fill="FFFFFF"/>
        </w:rPr>
        <w:t>如徐州市生态安全格局规划和徐州市生态修复专项规划、采煤沉陷区综合治理和生态修复等</w:t>
      </w:r>
      <w:r>
        <w:rPr>
          <w:rFonts w:ascii="Times New Roman" w:hAnsi="Times New Roman" w:cs="Times New Roman" w:hint="eastAsia"/>
          <w:color w:val="333333"/>
          <w:sz w:val="24"/>
          <w:szCs w:val="24"/>
          <w:shd w:val="clear" w:color="auto" w:fill="FFFFFF"/>
        </w:rPr>
        <w:t>9</w:t>
      </w:r>
      <w:r>
        <w:rPr>
          <w:rFonts w:ascii="Times New Roman" w:hAnsi="Times New Roman" w:cs="Times New Roman" w:hint="eastAsia"/>
          <w:color w:val="333333"/>
          <w:sz w:val="24"/>
          <w:szCs w:val="24"/>
          <w:shd w:val="clear" w:color="auto" w:fill="FFFFFF"/>
        </w:rPr>
        <w:t>个项目中得到了广泛应用。成果应用后，显著改变了徐州各类典型区的生态环境面貌，有效缓解了日益紧张的人地供需矛盾，逐步开展河道的水体生态修复工程，经济效益、社会效益和环境效益显著，为煤炭资源枯竭地区居民生产和生态恢复提供有效的模式和示范。</w:t>
      </w:r>
    </w:p>
    <w:p w14:paraId="51CEAF61" w14:textId="77777777" w:rsidR="003D69D6" w:rsidRDefault="003C5688">
      <w:pPr>
        <w:spacing w:line="400" w:lineRule="exact"/>
        <w:ind w:firstLineChars="200" w:firstLine="480"/>
        <w:rPr>
          <w:rFonts w:ascii="Times New Roman" w:hAnsi="Times New Roman" w:cs="Times New Roman"/>
          <w:color w:val="333333"/>
          <w:shd w:val="clear" w:color="auto" w:fill="FFFFFF"/>
        </w:rPr>
      </w:pPr>
      <w:r>
        <w:rPr>
          <w:rFonts w:ascii="Times New Roman" w:hAnsi="Times New Roman" w:cs="Times New Roman" w:hint="eastAsia"/>
          <w:color w:val="333333"/>
          <w:sz w:val="24"/>
          <w:szCs w:val="24"/>
          <w:shd w:val="clear" w:color="auto" w:fill="FFFFFF"/>
        </w:rPr>
        <w:t>推荐该项目申报</w:t>
      </w:r>
      <w:r>
        <w:rPr>
          <w:rFonts w:ascii="Times New Roman" w:hAnsi="Times New Roman" w:cs="Times New Roman" w:hint="eastAsia"/>
          <w:color w:val="333333"/>
          <w:sz w:val="24"/>
          <w:szCs w:val="24"/>
          <w:shd w:val="clear" w:color="auto" w:fill="FFFFFF"/>
        </w:rPr>
        <w:t>202</w:t>
      </w:r>
      <w:r>
        <w:rPr>
          <w:rFonts w:ascii="Times New Roman" w:hAnsi="Times New Roman" w:cs="Times New Roman"/>
          <w:color w:val="333333"/>
          <w:sz w:val="24"/>
          <w:szCs w:val="24"/>
          <w:shd w:val="clear" w:color="auto" w:fill="FFFFFF"/>
        </w:rPr>
        <w:t>5</w:t>
      </w:r>
      <w:r>
        <w:rPr>
          <w:rFonts w:ascii="Times New Roman" w:hAnsi="Times New Roman" w:cs="Times New Roman" w:hint="eastAsia"/>
          <w:color w:val="333333"/>
          <w:sz w:val="24"/>
          <w:szCs w:val="24"/>
          <w:shd w:val="clear" w:color="auto" w:fill="FFFFFF"/>
        </w:rPr>
        <w:t>年度江苏省土地学会科学技术奖一等奖。</w:t>
      </w:r>
    </w:p>
    <w:p w14:paraId="012AEB84" w14:textId="77777777" w:rsidR="003D69D6" w:rsidRDefault="003C5688">
      <w:pPr>
        <w:widowControl/>
        <w:spacing w:beforeLines="50" w:before="156" w:afterLines="50" w:after="156" w:line="480" w:lineRule="auto"/>
        <w:jc w:val="left"/>
        <w:rPr>
          <w:rFonts w:ascii="Times New Roman" w:eastAsia="宋体" w:hAnsi="Times New Roman" w:cs="Times New Roman"/>
          <w:b/>
          <w:color w:val="333333"/>
          <w:kern w:val="0"/>
          <w:sz w:val="28"/>
          <w:szCs w:val="24"/>
          <w:shd w:val="clear" w:color="auto" w:fill="FFFFFF"/>
        </w:rPr>
      </w:pPr>
      <w:r>
        <w:rPr>
          <w:rFonts w:ascii="Times New Roman" w:eastAsia="宋体" w:hAnsi="Times New Roman" w:cs="Times New Roman"/>
          <w:b/>
          <w:color w:val="333333"/>
          <w:kern w:val="0"/>
          <w:sz w:val="28"/>
          <w:szCs w:val="24"/>
          <w:shd w:val="clear" w:color="auto" w:fill="FFFFFF"/>
        </w:rPr>
        <w:t>三、成果简介</w:t>
      </w:r>
    </w:p>
    <w:p w14:paraId="6699E12C" w14:textId="77777777" w:rsidR="003D69D6" w:rsidRDefault="003C5688">
      <w:pPr>
        <w:widowControl/>
        <w:spacing w:line="400" w:lineRule="atLeast"/>
        <w:ind w:firstLineChars="200" w:firstLine="482"/>
        <w:jc w:val="left"/>
        <w:rPr>
          <w:rFonts w:ascii="Times New Roman" w:eastAsia="宋体" w:hAnsi="Times New Roman" w:cs="Times New Roman"/>
          <w:kern w:val="0"/>
          <w:sz w:val="24"/>
          <w:szCs w:val="24"/>
        </w:rPr>
      </w:pPr>
      <w:r>
        <w:rPr>
          <w:rFonts w:ascii="Times New Roman" w:eastAsia="宋体" w:hAnsi="Times New Roman" w:cs="Times New Roman"/>
          <w:b/>
          <w:color w:val="333333"/>
          <w:kern w:val="0"/>
          <w:sz w:val="24"/>
          <w:szCs w:val="24"/>
          <w:shd w:val="clear" w:color="auto" w:fill="FFFFFF"/>
        </w:rPr>
        <w:t>1</w:t>
      </w:r>
      <w:r>
        <w:rPr>
          <w:rFonts w:ascii="Times New Roman" w:eastAsia="宋体" w:hAnsi="Times New Roman" w:cs="Times New Roman"/>
          <w:b/>
          <w:color w:val="333333"/>
          <w:kern w:val="0"/>
          <w:sz w:val="24"/>
          <w:szCs w:val="24"/>
          <w:shd w:val="clear" w:color="auto" w:fill="FFFFFF"/>
        </w:rPr>
        <w:t>、项目立项背景</w:t>
      </w:r>
      <w:bookmarkStart w:id="11" w:name="OLE_LINK19"/>
      <w:bookmarkStart w:id="12" w:name="OLE_LINK18"/>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煤炭资源枯竭地区转型与高质量发展是世界性难题。我国煤炭资源枯竭地区普遍面临工矿废弃地可持续利用难度大、环境治理和生态保护形势严峻、创新引领可持续发展动力不足等问题。然而，现有研究仍存在一些不足之处。例如，缺乏针对地表形变的长时序、高密度、高精度监测；缺乏针对资源枯竭地区土地要素的一体化测控方法，难以全面把握资源枯竭地区土地系统变化规律；缺乏对煤炭资源枯竭地区水土调配的深入研究，难以实现煤炭资源枯竭地区水土资源的协同修复及湿地模式构建。</w:t>
      </w:r>
    </w:p>
    <w:p w14:paraId="386033FF" w14:textId="77777777" w:rsidR="003D69D6" w:rsidRDefault="003C5688">
      <w:pPr>
        <w:widowControl/>
        <w:spacing w:line="400" w:lineRule="atLeast"/>
        <w:ind w:firstLineChars="200" w:firstLine="482"/>
        <w:jc w:val="left"/>
        <w:rPr>
          <w:rFonts w:ascii="Times New Roman" w:eastAsia="宋体" w:hAnsi="Times New Roman" w:cs="Times New Roman"/>
          <w:color w:val="333333"/>
          <w:sz w:val="24"/>
          <w:shd w:val="clear" w:color="auto" w:fill="FFFFFF"/>
        </w:rPr>
      </w:pPr>
      <w:r>
        <w:rPr>
          <w:rFonts w:ascii="Times New Roman" w:eastAsia="宋体" w:hAnsi="Times New Roman" w:cs="Times New Roman" w:hint="eastAsia"/>
          <w:b/>
          <w:kern w:val="0"/>
          <w:sz w:val="24"/>
          <w:szCs w:val="24"/>
        </w:rPr>
        <w:lastRenderedPageBreak/>
        <w:t>2</w:t>
      </w:r>
      <w:r>
        <w:rPr>
          <w:rFonts w:ascii="Times New Roman" w:eastAsia="宋体" w:hAnsi="Times New Roman" w:cs="Times New Roman" w:hint="eastAsia"/>
          <w:b/>
          <w:kern w:val="0"/>
          <w:sz w:val="24"/>
          <w:szCs w:val="24"/>
        </w:rPr>
        <w:t>、研究目标：</w:t>
      </w:r>
      <w:r>
        <w:rPr>
          <w:rFonts w:ascii="Times New Roman" w:eastAsia="宋体" w:hAnsi="Times New Roman" w:cs="Times New Roman" w:hint="eastAsia"/>
          <w:color w:val="333333"/>
          <w:sz w:val="24"/>
          <w:shd w:val="clear" w:color="auto" w:fill="FFFFFF"/>
        </w:rPr>
        <w:t>本研究旨在针对煤炭资源枯竭地区煤炭资源枯竭地区国土综合整治</w:t>
      </w:r>
      <w:r>
        <w:rPr>
          <w:rFonts w:ascii="Times New Roman" w:eastAsia="宋体" w:hAnsi="Times New Roman" w:cs="Times New Roman" w:hint="eastAsia"/>
          <w:color w:val="333333"/>
          <w:sz w:val="24"/>
          <w:shd w:val="clear" w:color="auto" w:fill="FFFFFF"/>
        </w:rPr>
        <w:t>关键技术与可持续发展的重大需求，通过集成多源遥感监测、智能算法建模与生态工程调控技术，构建监测、评估和治理全链条技术体系。重点突破矿区地表形变高精度时序监测技术；建立</w:t>
      </w:r>
      <w:r>
        <w:rPr>
          <w:rFonts w:ascii="Times New Roman" w:eastAsia="宋体" w:hAnsi="Times New Roman" w:cs="Times New Roman" w:hint="eastAsia"/>
          <w:color w:val="333333"/>
          <w:sz w:val="24"/>
          <w:shd w:val="clear" w:color="auto" w:fill="FFFFFF"/>
        </w:rPr>
        <w:t>"</w:t>
      </w:r>
      <w:r>
        <w:rPr>
          <w:rFonts w:ascii="Times New Roman" w:eastAsia="宋体" w:hAnsi="Times New Roman" w:cs="Times New Roman" w:hint="eastAsia"/>
          <w:color w:val="333333"/>
          <w:sz w:val="24"/>
          <w:shd w:val="clear" w:color="auto" w:fill="FFFFFF"/>
        </w:rPr>
        <w:t>空天地</w:t>
      </w:r>
      <w:r>
        <w:rPr>
          <w:rFonts w:ascii="Times New Roman" w:eastAsia="宋体" w:hAnsi="Times New Roman" w:cs="Times New Roman" w:hint="eastAsia"/>
          <w:color w:val="333333"/>
          <w:sz w:val="24"/>
          <w:shd w:val="clear" w:color="auto" w:fill="FFFFFF"/>
        </w:rPr>
        <w:t>"</w:t>
      </w:r>
      <w:r>
        <w:rPr>
          <w:rFonts w:ascii="Times New Roman" w:eastAsia="宋体" w:hAnsi="Times New Roman" w:cs="Times New Roman" w:hint="eastAsia"/>
          <w:color w:val="333333"/>
          <w:sz w:val="24"/>
          <w:shd w:val="clear" w:color="auto" w:fill="FFFFFF"/>
        </w:rPr>
        <w:t>一体化的土地要素多维度测控体系；研发融合水土资源优化配置、梯级水网调控与湿地模式构建的国土空间综合治理方案。最终形成以</w:t>
      </w:r>
      <w:r>
        <w:rPr>
          <w:rFonts w:ascii="Times New Roman" w:eastAsia="宋体" w:hAnsi="Times New Roman" w:cs="Times New Roman" w:hint="eastAsia"/>
          <w:color w:val="333333"/>
          <w:sz w:val="24"/>
          <w:shd w:val="clear" w:color="auto" w:fill="FFFFFF"/>
        </w:rPr>
        <w:t>InSAR</w:t>
      </w:r>
      <w:r>
        <w:rPr>
          <w:rFonts w:ascii="Times New Roman" w:eastAsia="宋体" w:hAnsi="Times New Roman" w:cs="Times New Roman" w:hint="eastAsia"/>
          <w:color w:val="333333"/>
          <w:sz w:val="24"/>
          <w:shd w:val="clear" w:color="auto" w:fill="FFFFFF"/>
        </w:rPr>
        <w:t>形变监测为安全预警基础、机器学习环境评估为决策支撑、水土生态协同调控为实施路径的技术体系，实现沉陷区地表稳定性提升、水土污染风险防控与湿地生态系统功能重构，为煤炭资源枯竭地区综合整治提供科学依据。</w:t>
      </w:r>
    </w:p>
    <w:p w14:paraId="5DB788DD" w14:textId="77777777" w:rsidR="003D69D6" w:rsidRDefault="003C5688">
      <w:pPr>
        <w:widowControl/>
        <w:spacing w:line="400" w:lineRule="atLeast"/>
        <w:ind w:firstLineChars="200" w:firstLine="482"/>
        <w:jc w:val="left"/>
        <w:rPr>
          <w:rFonts w:ascii="Times New Roman" w:eastAsia="宋体" w:hAnsi="Times New Roman" w:cs="Times New Roman"/>
          <w:color w:val="333333"/>
          <w:sz w:val="24"/>
          <w:shd w:val="clear" w:color="auto" w:fill="FFFFFF"/>
        </w:rPr>
      </w:pPr>
      <w:r>
        <w:rPr>
          <w:rFonts w:ascii="Times New Roman" w:eastAsia="宋体" w:hAnsi="Times New Roman" w:cs="Times New Roman" w:hint="eastAsia"/>
          <w:b/>
          <w:color w:val="333333"/>
          <w:sz w:val="24"/>
          <w:shd w:val="clear" w:color="auto" w:fill="FFFFFF"/>
        </w:rPr>
        <w:t>3</w:t>
      </w:r>
      <w:r>
        <w:rPr>
          <w:rFonts w:ascii="Times New Roman" w:eastAsia="宋体" w:hAnsi="Times New Roman" w:cs="Times New Roman" w:hint="eastAsia"/>
          <w:b/>
          <w:color w:val="333333"/>
          <w:sz w:val="24"/>
          <w:shd w:val="clear" w:color="auto" w:fill="FFFFFF"/>
        </w:rPr>
        <w:t>、研究内</w:t>
      </w:r>
      <w:r>
        <w:rPr>
          <w:rFonts w:ascii="Times New Roman" w:eastAsia="宋体" w:hAnsi="Times New Roman" w:cs="Times New Roman" w:hint="eastAsia"/>
          <w:b/>
          <w:color w:val="333333"/>
          <w:sz w:val="24"/>
          <w:shd w:val="clear" w:color="auto" w:fill="FFFFFF"/>
        </w:rPr>
        <w:t>容：</w:t>
      </w:r>
      <w:r>
        <w:rPr>
          <w:rFonts w:ascii="Times New Roman" w:eastAsia="宋体" w:hAnsi="Times New Roman" w:cs="Times New Roman" w:hint="eastAsia"/>
          <w:color w:val="333333"/>
          <w:sz w:val="24"/>
          <w:shd w:val="clear" w:color="auto" w:fill="FFFFFF"/>
        </w:rPr>
        <w:t>（</w:t>
      </w:r>
      <w:r>
        <w:rPr>
          <w:rFonts w:ascii="Times New Roman" w:eastAsia="宋体" w:hAnsi="Times New Roman" w:cs="Times New Roman" w:hint="eastAsia"/>
          <w:color w:val="333333"/>
          <w:sz w:val="24"/>
          <w:shd w:val="clear" w:color="auto" w:fill="FFFFFF"/>
        </w:rPr>
        <w:t>1</w:t>
      </w:r>
      <w:r>
        <w:rPr>
          <w:rFonts w:ascii="Times New Roman" w:eastAsia="宋体" w:hAnsi="Times New Roman" w:cs="Times New Roman" w:hint="eastAsia"/>
          <w:color w:val="333333"/>
          <w:sz w:val="24"/>
          <w:shd w:val="clear" w:color="auto" w:fill="FFFFFF"/>
        </w:rPr>
        <w:t>）针对煤炭资源枯竭区地表稳定性问题，开发融合极化信息同质像元自适应选取（</w:t>
      </w:r>
      <w:r>
        <w:rPr>
          <w:rFonts w:ascii="Times New Roman" w:eastAsia="宋体" w:hAnsi="Times New Roman" w:cs="Times New Roman" w:hint="eastAsia"/>
          <w:color w:val="333333"/>
          <w:sz w:val="24"/>
          <w:shd w:val="clear" w:color="auto" w:fill="FFFFFF"/>
        </w:rPr>
        <w:t>Adp-HTCI</w:t>
      </w:r>
      <w:r>
        <w:rPr>
          <w:rFonts w:ascii="Times New Roman" w:eastAsia="宋体" w:hAnsi="Times New Roman" w:cs="Times New Roman" w:hint="eastAsia"/>
          <w:color w:val="333333"/>
          <w:sz w:val="24"/>
          <w:shd w:val="clear" w:color="auto" w:fill="FFFFFF"/>
        </w:rPr>
        <w:t>）、主相位时频滤波优化及极化小波大气校正的时序</w:t>
      </w:r>
      <w:r>
        <w:rPr>
          <w:rFonts w:ascii="Times New Roman" w:eastAsia="宋体" w:hAnsi="Times New Roman" w:cs="Times New Roman" w:hint="eastAsia"/>
          <w:color w:val="333333"/>
          <w:sz w:val="24"/>
          <w:shd w:val="clear" w:color="auto" w:fill="FFFFFF"/>
        </w:rPr>
        <w:t>InSAR</w:t>
      </w:r>
      <w:r>
        <w:rPr>
          <w:rFonts w:ascii="Times New Roman" w:eastAsia="宋体" w:hAnsi="Times New Roman" w:cs="Times New Roman" w:hint="eastAsia"/>
          <w:color w:val="333333"/>
          <w:sz w:val="24"/>
          <w:shd w:val="clear" w:color="auto" w:fill="FFFFFF"/>
        </w:rPr>
        <w:t>监测技术，解决开采沉陷信息提取难题；集成渐进非局部理论的水体自动识别与</w:t>
      </w:r>
      <w:r>
        <w:rPr>
          <w:rFonts w:ascii="Times New Roman" w:eastAsia="宋体" w:hAnsi="Times New Roman" w:cs="Times New Roman" w:hint="eastAsia"/>
          <w:color w:val="333333"/>
          <w:sz w:val="24"/>
          <w:shd w:val="clear" w:color="auto" w:fill="FFFFFF"/>
        </w:rPr>
        <w:t>InSAR</w:t>
      </w:r>
      <w:r>
        <w:rPr>
          <w:rFonts w:ascii="Times New Roman" w:eastAsia="宋体" w:hAnsi="Times New Roman" w:cs="Times New Roman" w:hint="eastAsia"/>
          <w:color w:val="333333"/>
          <w:sz w:val="24"/>
          <w:shd w:val="clear" w:color="auto" w:fill="FFFFFF"/>
        </w:rPr>
        <w:t>形变数据融合，实现采动积水范围动态监测；结合概率积分法与</w:t>
      </w:r>
      <w:r>
        <w:rPr>
          <w:rFonts w:ascii="Times New Roman" w:eastAsia="宋体" w:hAnsi="Times New Roman" w:cs="Times New Roman" w:hint="eastAsia"/>
          <w:color w:val="333333"/>
          <w:sz w:val="24"/>
          <w:shd w:val="clear" w:color="auto" w:fill="FFFFFF"/>
        </w:rPr>
        <w:t>LSTM</w:t>
      </w:r>
      <w:r>
        <w:rPr>
          <w:rFonts w:ascii="Times New Roman" w:eastAsia="宋体" w:hAnsi="Times New Roman" w:cs="Times New Roman" w:hint="eastAsia"/>
          <w:color w:val="333333"/>
          <w:sz w:val="24"/>
          <w:shd w:val="clear" w:color="auto" w:fill="FFFFFF"/>
        </w:rPr>
        <w:t>智能算法，构建地表残余变形预测模型，形成矿区形变监测、分析和预警的全链条技术体系。（</w:t>
      </w:r>
      <w:r>
        <w:rPr>
          <w:rFonts w:ascii="Times New Roman" w:eastAsia="宋体" w:hAnsi="Times New Roman" w:cs="Times New Roman" w:hint="eastAsia"/>
          <w:color w:val="333333"/>
          <w:sz w:val="24"/>
          <w:shd w:val="clear" w:color="auto" w:fill="FFFFFF"/>
        </w:rPr>
        <w:t>2</w:t>
      </w:r>
      <w:r>
        <w:rPr>
          <w:rFonts w:ascii="Times New Roman" w:eastAsia="宋体" w:hAnsi="Times New Roman" w:cs="Times New Roman" w:hint="eastAsia"/>
          <w:color w:val="333333"/>
          <w:sz w:val="24"/>
          <w:shd w:val="clear" w:color="auto" w:fill="FFFFFF"/>
        </w:rPr>
        <w:t>）构建三维植被指数模型和时序多光谱</w:t>
      </w:r>
      <w:r>
        <w:rPr>
          <w:rFonts w:ascii="Times New Roman" w:eastAsia="宋体" w:hAnsi="Times New Roman" w:cs="Times New Roman" w:hint="eastAsia"/>
          <w:color w:val="333333"/>
          <w:sz w:val="24"/>
          <w:shd w:val="clear" w:color="auto" w:fill="FFFFFF"/>
        </w:rPr>
        <w:t>-LiDAR</w:t>
      </w:r>
      <w:r>
        <w:rPr>
          <w:rFonts w:ascii="Times New Roman" w:eastAsia="宋体" w:hAnsi="Times New Roman" w:cs="Times New Roman" w:hint="eastAsia"/>
          <w:color w:val="333333"/>
          <w:sz w:val="24"/>
          <w:shd w:val="clear" w:color="auto" w:fill="FFFFFF"/>
        </w:rPr>
        <w:t>数据融合框架，解析土地利用与植被覆盖协同演变规律；研发机器学习驱动的高分辨率土壤有机</w:t>
      </w:r>
      <w:r>
        <w:rPr>
          <w:rFonts w:ascii="Times New Roman" w:eastAsia="宋体" w:hAnsi="Times New Roman" w:cs="Times New Roman" w:hint="eastAsia"/>
          <w:color w:val="333333"/>
          <w:sz w:val="24"/>
          <w:shd w:val="clear" w:color="auto" w:fill="FFFFFF"/>
        </w:rPr>
        <w:t>碳和重金属污染制图技术，揭示其空间分异机制；集成</w:t>
      </w:r>
      <w:r>
        <w:rPr>
          <w:rFonts w:ascii="Times New Roman" w:eastAsia="宋体" w:hAnsi="Times New Roman" w:cs="Times New Roman" w:hint="eastAsia"/>
          <w:color w:val="333333"/>
          <w:sz w:val="24"/>
          <w:shd w:val="clear" w:color="auto" w:fill="FFFFFF"/>
        </w:rPr>
        <w:t>PM2.5</w:t>
      </w:r>
      <w:r>
        <w:rPr>
          <w:rFonts w:ascii="Times New Roman" w:eastAsia="宋体" w:hAnsi="Times New Roman" w:cs="Times New Roman" w:hint="eastAsia"/>
          <w:color w:val="333333"/>
          <w:sz w:val="24"/>
          <w:shd w:val="clear" w:color="auto" w:fill="FFFFFF"/>
        </w:rPr>
        <w:t>高精度制图、土壤侵蚀风险预警及多维环境质量评价模型，提出分区管控、要素协同和动态调控的综合治理方案，支撑煤炭资源枯竭地区土地功能修复与碳汇能力提升。（</w:t>
      </w:r>
      <w:r>
        <w:rPr>
          <w:rFonts w:ascii="Times New Roman" w:eastAsia="宋体" w:hAnsi="Times New Roman" w:cs="Times New Roman" w:hint="eastAsia"/>
          <w:color w:val="333333"/>
          <w:sz w:val="24"/>
          <w:shd w:val="clear" w:color="auto" w:fill="FFFFFF"/>
        </w:rPr>
        <w:t>3</w:t>
      </w:r>
      <w:r>
        <w:rPr>
          <w:rFonts w:ascii="Times New Roman" w:eastAsia="宋体" w:hAnsi="Times New Roman" w:cs="Times New Roman" w:hint="eastAsia"/>
          <w:color w:val="333333"/>
          <w:sz w:val="24"/>
          <w:shd w:val="clear" w:color="auto" w:fill="FFFFFF"/>
        </w:rPr>
        <w:t>）基于三水转化理论和多目标优化模型，提出水土资源时空协同配置方法；创新</w:t>
      </w:r>
      <w:r>
        <w:rPr>
          <w:rFonts w:ascii="Times New Roman" w:eastAsia="宋体" w:hAnsi="Times New Roman" w:cs="Times New Roman" w:hint="eastAsia"/>
          <w:color w:val="333333"/>
          <w:sz w:val="24"/>
          <w:shd w:val="clear" w:color="auto" w:fill="FFFFFF"/>
        </w:rPr>
        <w:t>N</w:t>
      </w:r>
      <w:r>
        <w:rPr>
          <w:rFonts w:ascii="Times New Roman" w:eastAsia="宋体" w:hAnsi="Times New Roman" w:cs="Times New Roman" w:hint="eastAsia"/>
          <w:color w:val="333333"/>
          <w:sz w:val="24"/>
          <w:shd w:val="clear" w:color="auto" w:fill="FFFFFF"/>
        </w:rPr>
        <w:t>级梯级水网调控格局与绿色基础设施网络，实现沉陷区水循环调控及有机质流失减缓；分层设计“细胞壁式”生态湿地缓冲体系，集成防渗屏障、植物缓冲带与自净化生物群落技术，形成水位分级、污染拦截和生态修复的沉陷湿地生态功能提升策略，解决富营养</w:t>
      </w:r>
      <w:r>
        <w:rPr>
          <w:rFonts w:ascii="Times New Roman" w:eastAsia="宋体" w:hAnsi="Times New Roman" w:cs="Times New Roman" w:hint="eastAsia"/>
          <w:color w:val="333333"/>
          <w:sz w:val="24"/>
          <w:shd w:val="clear" w:color="auto" w:fill="FFFFFF"/>
        </w:rPr>
        <w:t>化与重金属累积问题。</w:t>
      </w:r>
    </w:p>
    <w:p w14:paraId="650A6E35" w14:textId="77777777" w:rsidR="003D69D6" w:rsidRDefault="003C5688">
      <w:pPr>
        <w:widowControl/>
        <w:spacing w:line="400" w:lineRule="atLeast"/>
        <w:ind w:firstLineChars="200" w:firstLine="482"/>
        <w:jc w:val="left"/>
        <w:rPr>
          <w:rFonts w:ascii="Times New Roman" w:eastAsia="宋体" w:hAnsi="Times New Roman" w:cs="Times New Roman"/>
          <w:color w:val="333333"/>
          <w:sz w:val="24"/>
          <w:shd w:val="clear" w:color="auto" w:fill="FFFFFF"/>
        </w:rPr>
      </w:pPr>
      <w:r>
        <w:rPr>
          <w:rFonts w:ascii="Times New Roman" w:eastAsia="宋体" w:hAnsi="Times New Roman" w:cs="Times New Roman" w:hint="eastAsia"/>
          <w:b/>
          <w:color w:val="333333"/>
          <w:sz w:val="24"/>
          <w:shd w:val="clear" w:color="auto" w:fill="FFFFFF"/>
        </w:rPr>
        <w:t>4</w:t>
      </w:r>
      <w:r>
        <w:rPr>
          <w:rFonts w:ascii="Times New Roman" w:eastAsia="宋体" w:hAnsi="Times New Roman" w:cs="Times New Roman" w:hint="eastAsia"/>
          <w:b/>
          <w:color w:val="333333"/>
          <w:sz w:val="24"/>
          <w:shd w:val="clear" w:color="auto" w:fill="FFFFFF"/>
        </w:rPr>
        <w:t>、主要创新：</w:t>
      </w:r>
      <w:r>
        <w:rPr>
          <w:rFonts w:ascii="Times New Roman" w:eastAsia="宋体" w:hAnsi="Times New Roman" w:cs="Times New Roman"/>
          <w:color w:val="333333"/>
          <w:sz w:val="24"/>
          <w:shd w:val="clear" w:color="auto" w:fill="FFFFFF"/>
        </w:rPr>
        <w:t>（</w:t>
      </w:r>
      <w:r>
        <w:rPr>
          <w:rFonts w:ascii="Times New Roman" w:eastAsia="宋体" w:hAnsi="Times New Roman" w:cs="Times New Roman"/>
          <w:color w:val="333333"/>
          <w:sz w:val="24"/>
          <w:shd w:val="clear" w:color="auto" w:fill="FFFFFF"/>
        </w:rPr>
        <w:t>1</w:t>
      </w:r>
      <w:r>
        <w:rPr>
          <w:rFonts w:ascii="Times New Roman" w:eastAsia="宋体" w:hAnsi="Times New Roman" w:cs="Times New Roman"/>
          <w:color w:val="333333"/>
          <w:sz w:val="24"/>
          <w:shd w:val="clear" w:color="auto" w:fill="FFFFFF"/>
        </w:rPr>
        <w:t>）</w:t>
      </w:r>
      <w:r>
        <w:rPr>
          <w:rFonts w:ascii="Times New Roman" w:eastAsia="宋体" w:hAnsi="Times New Roman" w:cs="Times New Roman" w:hint="eastAsia"/>
          <w:color w:val="333333"/>
          <w:sz w:val="24"/>
          <w:shd w:val="clear" w:color="auto" w:fill="FFFFFF"/>
        </w:rPr>
        <w:t>创建了煤炭资源枯竭地区地表形变监测与预测技术。针对煤炭资源枯竭地区植被多、沉降大、易积水，导致开采沉陷及积水信息难以长时、精细和精准监测的问题，提出了极化</w:t>
      </w:r>
      <w:r>
        <w:rPr>
          <w:rFonts w:ascii="Times New Roman" w:eastAsia="宋体" w:hAnsi="Times New Roman" w:cs="Times New Roman" w:hint="eastAsia"/>
          <w:color w:val="333333"/>
          <w:sz w:val="24"/>
          <w:shd w:val="clear" w:color="auto" w:fill="FFFFFF"/>
        </w:rPr>
        <w:t>Adp-HTCI</w:t>
      </w:r>
      <w:r>
        <w:rPr>
          <w:rFonts w:ascii="Times New Roman" w:eastAsia="宋体" w:hAnsi="Times New Roman" w:cs="Times New Roman" w:hint="eastAsia"/>
          <w:color w:val="333333"/>
          <w:sz w:val="24"/>
          <w:shd w:val="clear" w:color="auto" w:fill="FFFFFF"/>
        </w:rPr>
        <w:t>同质像元选取方法，研发了主相位频域和费舍尔信息矩阵加权的相位优化方法，提出了利用极化组合特征和非局部理论的快速自动化沉陷积水区识别及变化检测方法，构建了时域高通滤波与长短期记忆网络相结合的关闭矿井地表形变智能预测模型，形成了矿区开采沉陷实时监测与精准预测技术体系</w:t>
      </w:r>
      <w:r>
        <w:rPr>
          <w:rFonts w:ascii="Times New Roman" w:eastAsia="宋体" w:hAnsi="Times New Roman" w:cs="Times New Roman"/>
          <w:color w:val="333333"/>
          <w:sz w:val="24"/>
          <w:shd w:val="clear" w:color="auto" w:fill="FFFFFF"/>
        </w:rPr>
        <w:t>。（</w:t>
      </w:r>
      <w:r>
        <w:rPr>
          <w:rFonts w:ascii="Times New Roman" w:eastAsia="宋体" w:hAnsi="Times New Roman" w:cs="Times New Roman"/>
          <w:color w:val="333333"/>
          <w:sz w:val="24"/>
          <w:shd w:val="clear" w:color="auto" w:fill="FFFFFF"/>
        </w:rPr>
        <w:t>2</w:t>
      </w:r>
      <w:r>
        <w:rPr>
          <w:rFonts w:ascii="Times New Roman" w:eastAsia="宋体" w:hAnsi="Times New Roman" w:cs="Times New Roman"/>
          <w:color w:val="333333"/>
          <w:sz w:val="24"/>
          <w:shd w:val="clear" w:color="auto" w:fill="FFFFFF"/>
        </w:rPr>
        <w:t>）</w:t>
      </w:r>
      <w:r>
        <w:rPr>
          <w:rFonts w:ascii="Times New Roman" w:eastAsia="宋体" w:hAnsi="Times New Roman" w:cs="Times New Roman" w:hint="eastAsia"/>
          <w:color w:val="333333"/>
          <w:sz w:val="24"/>
          <w:shd w:val="clear" w:color="auto" w:fill="FFFFFF"/>
        </w:rPr>
        <w:t>构建了煤炭资源枯竭地区“空天地</w:t>
      </w:r>
      <w:r>
        <w:rPr>
          <w:rFonts w:ascii="Times New Roman" w:eastAsia="宋体" w:hAnsi="Times New Roman" w:cs="Times New Roman" w:hint="eastAsia"/>
          <w:color w:val="333333"/>
          <w:sz w:val="24"/>
          <w:shd w:val="clear" w:color="auto" w:fill="FFFFFF"/>
        </w:rPr>
        <w:t>”一体化土地要素测控与综合整治技术，实现了对土地利用、土壤退化、植被覆盖和大气污染时空分异特征的监测；使用多种机器学习算法，绘制了</w:t>
      </w:r>
      <w:r>
        <w:rPr>
          <w:rFonts w:ascii="Times New Roman" w:eastAsia="宋体" w:hAnsi="Times New Roman" w:cs="Times New Roman" w:hint="eastAsia"/>
          <w:color w:val="333333"/>
          <w:sz w:val="24"/>
          <w:shd w:val="clear" w:color="auto" w:fill="FFFFFF"/>
        </w:rPr>
        <w:t>30m</w:t>
      </w:r>
      <w:r>
        <w:rPr>
          <w:rFonts w:ascii="Times New Roman" w:eastAsia="宋体" w:hAnsi="Times New Roman" w:cs="Times New Roman" w:hint="eastAsia"/>
          <w:color w:val="333333"/>
          <w:sz w:val="24"/>
          <w:shd w:val="clear" w:color="auto" w:fill="FFFFFF"/>
        </w:rPr>
        <w:t>分辨率土壤有机碳和重金属含量的空间分布图；构建了煤炭资源枯竭地区环境质量综合评价</w:t>
      </w:r>
      <w:r>
        <w:rPr>
          <w:rFonts w:ascii="Times New Roman" w:eastAsia="宋体" w:hAnsi="Times New Roman" w:cs="Times New Roman" w:hint="eastAsia"/>
          <w:color w:val="333333"/>
          <w:sz w:val="24"/>
          <w:shd w:val="clear" w:color="auto" w:fill="FFFFFF"/>
        </w:rPr>
        <w:lastRenderedPageBreak/>
        <w:t>模型，并针对性构建了涵盖地表景观重塑、土壤污染治理、碳库功能优化和土壤侵蚀防控的协同治理技术体系</w:t>
      </w:r>
      <w:r>
        <w:rPr>
          <w:rFonts w:ascii="Times New Roman" w:eastAsia="宋体" w:hAnsi="Times New Roman" w:cs="Times New Roman"/>
          <w:color w:val="333333"/>
          <w:sz w:val="24"/>
          <w:shd w:val="clear" w:color="auto" w:fill="FFFFFF"/>
        </w:rPr>
        <w:t>。（</w:t>
      </w:r>
      <w:r>
        <w:rPr>
          <w:rFonts w:ascii="Times New Roman" w:eastAsia="宋体" w:hAnsi="Times New Roman" w:cs="Times New Roman"/>
          <w:color w:val="333333"/>
          <w:sz w:val="24"/>
          <w:shd w:val="clear" w:color="auto" w:fill="FFFFFF"/>
        </w:rPr>
        <w:t>3</w:t>
      </w:r>
      <w:r>
        <w:rPr>
          <w:rFonts w:ascii="Times New Roman" w:eastAsia="宋体" w:hAnsi="Times New Roman" w:cs="Times New Roman"/>
          <w:color w:val="333333"/>
          <w:sz w:val="24"/>
          <w:shd w:val="clear" w:color="auto" w:fill="FFFFFF"/>
        </w:rPr>
        <w:t>）</w:t>
      </w:r>
      <w:r>
        <w:rPr>
          <w:rFonts w:ascii="Times New Roman" w:eastAsia="宋体" w:hAnsi="Times New Roman" w:cs="Times New Roman" w:hint="eastAsia"/>
          <w:color w:val="333333"/>
          <w:sz w:val="24"/>
          <w:shd w:val="clear" w:color="auto" w:fill="FFFFFF"/>
        </w:rPr>
        <w:t>提出了煤炭资源枯竭地区水土资源调控技术，实现了煤炭资源枯竭地区不同目标发展的水土资源优化配置问题；提出了多级水网调控与生态网络协同构建技术，建立垂直等高线梯级水网，通过</w:t>
      </w:r>
      <w:r>
        <w:rPr>
          <w:rFonts w:ascii="Times New Roman" w:eastAsia="宋体" w:hAnsi="Times New Roman" w:cs="Times New Roman" w:hint="eastAsia"/>
          <w:color w:val="333333"/>
          <w:sz w:val="24"/>
          <w:shd w:val="clear" w:color="auto" w:fill="FFFFFF"/>
        </w:rPr>
        <w:t>"N</w:t>
      </w:r>
      <w:r>
        <w:rPr>
          <w:rFonts w:ascii="Times New Roman" w:eastAsia="宋体" w:hAnsi="Times New Roman" w:cs="Times New Roman" w:hint="eastAsia"/>
          <w:color w:val="333333"/>
          <w:sz w:val="24"/>
          <w:shd w:val="clear" w:color="auto" w:fill="FFFFFF"/>
        </w:rPr>
        <w:t>级控制、</w:t>
      </w:r>
      <w:r>
        <w:rPr>
          <w:rFonts w:ascii="Times New Roman" w:eastAsia="宋体" w:hAnsi="Times New Roman" w:cs="Times New Roman" w:hint="eastAsia"/>
          <w:color w:val="333333"/>
          <w:sz w:val="24"/>
          <w:shd w:val="clear" w:color="auto" w:fill="FFFFFF"/>
        </w:rPr>
        <w:t>N+1</w:t>
      </w:r>
      <w:r>
        <w:rPr>
          <w:rFonts w:ascii="Times New Roman" w:eastAsia="宋体" w:hAnsi="Times New Roman" w:cs="Times New Roman" w:hint="eastAsia"/>
          <w:color w:val="333333"/>
          <w:sz w:val="24"/>
          <w:shd w:val="clear" w:color="auto" w:fill="FFFFFF"/>
        </w:rPr>
        <w:t>级水面</w:t>
      </w:r>
      <w:r>
        <w:rPr>
          <w:rFonts w:ascii="Times New Roman" w:eastAsia="宋体" w:hAnsi="Times New Roman" w:cs="Times New Roman" w:hint="eastAsia"/>
          <w:color w:val="333333"/>
          <w:sz w:val="24"/>
          <w:shd w:val="clear" w:color="auto" w:fill="FFFFFF"/>
        </w:rPr>
        <w:t>"</w:t>
      </w:r>
      <w:r>
        <w:rPr>
          <w:rFonts w:ascii="Times New Roman" w:eastAsia="宋体" w:hAnsi="Times New Roman" w:cs="Times New Roman" w:hint="eastAsia"/>
          <w:color w:val="333333"/>
          <w:sz w:val="24"/>
          <w:shd w:val="clear" w:color="auto" w:fill="FFFFFF"/>
        </w:rPr>
        <w:t>结构优化水土资源分配，降低沉陷区积水压力并抑制氮磷流失；构建了塌陷湿地</w:t>
      </w:r>
      <w:r>
        <w:rPr>
          <w:rFonts w:ascii="Times New Roman" w:eastAsia="宋体" w:hAnsi="Times New Roman" w:cs="Times New Roman" w:hint="eastAsia"/>
          <w:color w:val="333333"/>
          <w:sz w:val="24"/>
          <w:shd w:val="clear" w:color="auto" w:fill="FFFFFF"/>
        </w:rPr>
        <w:t>"</w:t>
      </w:r>
      <w:r>
        <w:rPr>
          <w:rFonts w:ascii="Times New Roman" w:eastAsia="宋体" w:hAnsi="Times New Roman" w:cs="Times New Roman" w:hint="eastAsia"/>
          <w:color w:val="333333"/>
          <w:sz w:val="24"/>
          <w:shd w:val="clear" w:color="auto" w:fill="FFFFFF"/>
        </w:rPr>
        <w:t>细胞壁</w:t>
      </w:r>
      <w:r>
        <w:rPr>
          <w:rFonts w:ascii="Times New Roman" w:eastAsia="宋体" w:hAnsi="Times New Roman" w:cs="Times New Roman" w:hint="eastAsia"/>
          <w:color w:val="333333"/>
          <w:sz w:val="24"/>
          <w:shd w:val="clear" w:color="auto" w:fill="FFFFFF"/>
        </w:rPr>
        <w:t>"</w:t>
      </w:r>
      <w:r>
        <w:rPr>
          <w:rFonts w:ascii="Times New Roman" w:eastAsia="宋体" w:hAnsi="Times New Roman" w:cs="Times New Roman" w:hint="eastAsia"/>
          <w:color w:val="333333"/>
          <w:sz w:val="24"/>
          <w:shd w:val="clear" w:color="auto" w:fill="FFFFFF"/>
        </w:rPr>
        <w:t>分区净化体系，集成防渗、扩湖、缓冲带和人工湿地屏障，耦合沉水植物、藻类和微生物自净化系统。</w:t>
      </w:r>
    </w:p>
    <w:p w14:paraId="5C32E4FB" w14:textId="77777777" w:rsidR="003D69D6" w:rsidRDefault="003C5688">
      <w:pPr>
        <w:widowControl/>
        <w:spacing w:line="400" w:lineRule="atLeast"/>
        <w:ind w:firstLineChars="200" w:firstLine="482"/>
        <w:jc w:val="left"/>
        <w:rPr>
          <w:rFonts w:ascii="Times New Roman" w:eastAsia="宋体" w:hAnsi="Times New Roman" w:cs="Times New Roman"/>
          <w:b/>
          <w:color w:val="333333"/>
          <w:sz w:val="24"/>
          <w:shd w:val="clear" w:color="auto" w:fill="FFFFFF"/>
        </w:rPr>
      </w:pPr>
      <w:r>
        <w:rPr>
          <w:rFonts w:ascii="Times New Roman" w:eastAsia="宋体" w:hAnsi="Times New Roman" w:cs="Times New Roman" w:hint="eastAsia"/>
          <w:b/>
          <w:color w:val="333333"/>
          <w:sz w:val="24"/>
          <w:shd w:val="clear" w:color="auto" w:fill="FFFFFF"/>
        </w:rPr>
        <w:t>5</w:t>
      </w:r>
      <w:r>
        <w:rPr>
          <w:rFonts w:ascii="Times New Roman" w:eastAsia="宋体" w:hAnsi="Times New Roman" w:cs="Times New Roman" w:hint="eastAsia"/>
          <w:b/>
          <w:color w:val="333333"/>
          <w:sz w:val="24"/>
          <w:shd w:val="clear" w:color="auto" w:fill="FFFFFF"/>
        </w:rPr>
        <w:t>、推广应用：</w:t>
      </w:r>
      <w:r>
        <w:rPr>
          <w:rFonts w:ascii="Times New Roman" w:eastAsia="宋体" w:hAnsi="Times New Roman" w:cs="Times New Roman" w:hint="eastAsia"/>
          <w:bCs/>
          <w:color w:val="333333"/>
          <w:sz w:val="24"/>
          <w:shd w:val="clear" w:color="auto" w:fill="FFFFFF"/>
        </w:rPr>
        <w:t>该研究</w:t>
      </w:r>
      <w:r>
        <w:rPr>
          <w:rFonts w:ascii="Times New Roman" w:eastAsia="宋体" w:hAnsi="Times New Roman" w:cs="Times New Roman" w:hint="eastAsia"/>
          <w:color w:val="333333"/>
          <w:sz w:val="24"/>
          <w:shd w:val="clear" w:color="auto" w:fill="FFFFFF"/>
        </w:rPr>
        <w:t>通过集成创新技术体系，在高潜水位采煤沉陷区治理中取得显著成效，成果应用覆盖全国多个煤炭资源枯竭地区。在徐州市贾汪区、沛县等地，统筹流域水资源调配与生态修复，将潘安湖、九里湖等沉陷区改造为生态湿地，实现水质透明度提升，恢复土地功能。针对济宁、唐山等矿区水土失衡难题，成功调控积水面积，提高了矿区水资源利用率。通过对塌陷区稳定性评估，支撑贾汪区在采煤沉陷地上新建安置小区及产业园区，获习近平总书记“贾汪真旺”的高度肯定。经济层面，技术应用在济宁、淮北等地累计产生可观的经济效益，并在全国</w:t>
      </w:r>
      <w:r>
        <w:rPr>
          <w:rFonts w:ascii="Times New Roman" w:eastAsia="宋体" w:hAnsi="Times New Roman" w:cs="Times New Roman" w:hint="eastAsia"/>
          <w:color w:val="333333"/>
          <w:sz w:val="24"/>
          <w:shd w:val="clear" w:color="auto" w:fill="FFFFFF"/>
        </w:rPr>
        <w:t>8</w:t>
      </w:r>
      <w:r>
        <w:rPr>
          <w:rFonts w:ascii="Times New Roman" w:eastAsia="宋体" w:hAnsi="Times New Roman" w:cs="Times New Roman" w:hint="eastAsia"/>
          <w:color w:val="333333"/>
          <w:sz w:val="24"/>
          <w:shd w:val="clear" w:color="auto" w:fill="FFFFFF"/>
        </w:rPr>
        <w:t>省</w:t>
      </w:r>
      <w:r>
        <w:rPr>
          <w:rFonts w:ascii="Times New Roman" w:eastAsia="宋体" w:hAnsi="Times New Roman" w:cs="Times New Roman" w:hint="eastAsia"/>
          <w:color w:val="333333"/>
          <w:sz w:val="24"/>
          <w:shd w:val="clear" w:color="auto" w:fill="FFFFFF"/>
        </w:rPr>
        <w:t>32</w:t>
      </w:r>
      <w:r>
        <w:rPr>
          <w:rFonts w:ascii="Times New Roman" w:eastAsia="宋体" w:hAnsi="Times New Roman" w:cs="Times New Roman" w:hint="eastAsia"/>
          <w:color w:val="333333"/>
          <w:sz w:val="24"/>
          <w:shd w:val="clear" w:color="auto" w:fill="FFFFFF"/>
        </w:rPr>
        <w:t>个煤炭资源枯竭地区推广</w:t>
      </w:r>
      <w:r>
        <w:rPr>
          <w:rFonts w:ascii="Times New Roman" w:eastAsia="宋体" w:hAnsi="Times New Roman" w:cs="Times New Roman" w:hint="eastAsia"/>
          <w:color w:val="333333"/>
          <w:sz w:val="24"/>
          <w:shd w:val="clear" w:color="auto" w:fill="FFFFFF"/>
        </w:rPr>
        <w:t>，形成可复制的“采煤沉陷区功能再生”模式，为煤炭资源枯竭地区国土综合整治提供示范。</w:t>
      </w:r>
    </w:p>
    <w:bookmarkEnd w:id="11"/>
    <w:bookmarkEnd w:id="12"/>
    <w:p w14:paraId="27876972" w14:textId="77777777" w:rsidR="003D69D6" w:rsidRDefault="003C5688">
      <w:pPr>
        <w:widowControl/>
        <w:spacing w:beforeLines="50" w:before="156" w:afterLines="50" w:after="156" w:line="480" w:lineRule="auto"/>
        <w:jc w:val="left"/>
        <w:rPr>
          <w:rFonts w:ascii="Times New Roman" w:eastAsia="宋体" w:hAnsi="Times New Roman" w:cs="Times New Roman"/>
          <w:b/>
          <w:color w:val="333333"/>
          <w:kern w:val="0"/>
          <w:sz w:val="28"/>
          <w:szCs w:val="24"/>
          <w:shd w:val="clear" w:color="auto" w:fill="FFFFFF"/>
        </w:rPr>
      </w:pPr>
      <w:r>
        <w:rPr>
          <w:rFonts w:ascii="Times New Roman" w:eastAsia="宋体" w:hAnsi="Times New Roman" w:cs="Times New Roman" w:hint="eastAsia"/>
          <w:b/>
          <w:color w:val="333333"/>
          <w:kern w:val="0"/>
          <w:sz w:val="28"/>
          <w:szCs w:val="24"/>
          <w:shd w:val="clear" w:color="auto" w:fill="FFFFFF"/>
        </w:rPr>
        <w:t>四、客观评价</w:t>
      </w:r>
    </w:p>
    <w:p w14:paraId="10E50259" w14:textId="77777777" w:rsidR="003D69D6" w:rsidRDefault="003C5688">
      <w:pPr>
        <w:spacing w:line="400" w:lineRule="exact"/>
        <w:ind w:firstLineChars="200" w:firstLine="482"/>
        <w:rPr>
          <w:rFonts w:ascii="宋体" w:eastAsia="宋体" w:hAnsi="宋体" w:cs="Times New Roman"/>
          <w:color w:val="333333"/>
          <w:sz w:val="24"/>
          <w:szCs w:val="24"/>
          <w:shd w:val="clear" w:color="auto" w:fill="FFFFFF"/>
        </w:rPr>
      </w:pPr>
      <w:r>
        <w:rPr>
          <w:rFonts w:ascii="宋体" w:eastAsia="宋体" w:hAnsi="宋体" w:cs="Times New Roman"/>
          <w:b/>
          <w:color w:val="333333"/>
          <w:sz w:val="24"/>
          <w:szCs w:val="24"/>
          <w:shd w:val="clear" w:color="auto" w:fill="FFFFFF"/>
        </w:rPr>
        <w:t>1</w:t>
      </w:r>
      <w:r>
        <w:rPr>
          <w:rFonts w:ascii="宋体" w:eastAsia="宋体" w:hAnsi="宋体" w:cs="Times New Roman"/>
          <w:b/>
          <w:color w:val="333333"/>
          <w:sz w:val="24"/>
          <w:szCs w:val="24"/>
          <w:shd w:val="clear" w:color="auto" w:fill="FFFFFF"/>
        </w:rPr>
        <w:t>、验收意见：</w:t>
      </w:r>
      <w:r>
        <w:rPr>
          <w:rFonts w:ascii="Times New Roman" w:eastAsia="宋体" w:hAnsi="Times New Roman" w:cs="Times New Roman"/>
          <w:color w:val="333333"/>
          <w:sz w:val="24"/>
          <w:szCs w:val="24"/>
          <w:shd w:val="clear" w:color="auto" w:fill="FFFFFF"/>
        </w:rPr>
        <w:t>该项目获得自然资源部外协课题、江苏省水利厅等研究课题和单位的支持，分别于</w:t>
      </w:r>
      <w:r>
        <w:rPr>
          <w:rFonts w:ascii="Times New Roman" w:eastAsia="宋体" w:hAnsi="Times New Roman" w:cs="Times New Roman"/>
          <w:color w:val="333333"/>
          <w:sz w:val="24"/>
          <w:szCs w:val="24"/>
          <w:shd w:val="clear" w:color="auto" w:fill="FFFFFF"/>
        </w:rPr>
        <w:t>2015</w:t>
      </w:r>
      <w:r>
        <w:rPr>
          <w:rFonts w:ascii="Times New Roman" w:eastAsia="宋体" w:hAnsi="Times New Roman" w:cs="Times New Roman"/>
          <w:color w:val="333333"/>
          <w:sz w:val="24"/>
          <w:szCs w:val="24"/>
          <w:shd w:val="clear" w:color="auto" w:fill="FFFFFF"/>
        </w:rPr>
        <w:t>年、</w:t>
      </w:r>
      <w:r>
        <w:rPr>
          <w:rFonts w:ascii="Times New Roman" w:eastAsia="宋体" w:hAnsi="Times New Roman" w:cs="Times New Roman"/>
          <w:color w:val="333333"/>
          <w:sz w:val="24"/>
          <w:szCs w:val="24"/>
          <w:shd w:val="clear" w:color="auto" w:fill="FFFFFF"/>
        </w:rPr>
        <w:t>2017</w:t>
      </w:r>
      <w:r>
        <w:rPr>
          <w:rFonts w:ascii="Times New Roman" w:eastAsia="宋体" w:hAnsi="Times New Roman" w:cs="Times New Roman"/>
          <w:color w:val="333333"/>
          <w:sz w:val="24"/>
          <w:szCs w:val="24"/>
          <w:shd w:val="clear" w:color="auto" w:fill="FFFFFF"/>
        </w:rPr>
        <w:t>年、</w:t>
      </w:r>
      <w:r>
        <w:rPr>
          <w:rFonts w:ascii="Times New Roman" w:eastAsia="宋体" w:hAnsi="Times New Roman" w:cs="Times New Roman"/>
          <w:color w:val="333333"/>
          <w:sz w:val="24"/>
          <w:szCs w:val="24"/>
          <w:shd w:val="clear" w:color="auto" w:fill="FFFFFF"/>
        </w:rPr>
        <w:t>2019</w:t>
      </w:r>
      <w:r>
        <w:rPr>
          <w:rFonts w:ascii="Times New Roman" w:eastAsia="宋体" w:hAnsi="Times New Roman" w:cs="Times New Roman"/>
          <w:color w:val="333333"/>
          <w:sz w:val="24"/>
          <w:szCs w:val="24"/>
          <w:shd w:val="clear" w:color="auto" w:fill="FFFFFF"/>
        </w:rPr>
        <w:t>年、</w:t>
      </w:r>
      <w:r>
        <w:rPr>
          <w:rFonts w:ascii="Times New Roman" w:eastAsia="宋体" w:hAnsi="Times New Roman" w:cs="Times New Roman"/>
          <w:color w:val="333333"/>
          <w:sz w:val="24"/>
          <w:szCs w:val="24"/>
          <w:shd w:val="clear" w:color="auto" w:fill="FFFFFF"/>
        </w:rPr>
        <w:t>2021</w:t>
      </w:r>
      <w:r>
        <w:rPr>
          <w:rFonts w:ascii="Times New Roman" w:eastAsia="宋体" w:hAnsi="Times New Roman" w:cs="Times New Roman"/>
          <w:color w:val="333333"/>
          <w:sz w:val="24"/>
          <w:szCs w:val="24"/>
          <w:shd w:val="clear" w:color="auto" w:fill="FFFFFF"/>
        </w:rPr>
        <w:t>年完成</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铜山区采煤沉陷洼地水系修复模式研究</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大沙河湿地生态维护及补偿机制研究</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黄淮海典型采煤塌陷区水土资源调控技术研究</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关闭矿山生态损伤及修复研究</w:t>
      </w:r>
      <w:r>
        <w:rPr>
          <w:rFonts w:ascii="Times New Roman" w:eastAsia="宋体" w:hAnsi="Times New Roman" w:cs="Times New Roman"/>
          <w:color w:val="333333"/>
          <w:sz w:val="24"/>
          <w:szCs w:val="24"/>
          <w:shd w:val="clear" w:color="auto" w:fill="FFFFFF"/>
        </w:rPr>
        <w:t>”</w:t>
      </w:r>
      <w:r>
        <w:rPr>
          <w:rFonts w:ascii="Times New Roman" w:eastAsia="宋体" w:hAnsi="Times New Roman" w:cs="Times New Roman"/>
          <w:color w:val="333333"/>
          <w:sz w:val="24"/>
          <w:szCs w:val="24"/>
          <w:shd w:val="clear" w:color="auto" w:fill="FFFFFF"/>
        </w:rPr>
        <w:t>等研究任务及专家鉴定，顺利通过验收。项目</w:t>
      </w:r>
      <w:r>
        <w:rPr>
          <w:rFonts w:ascii="Times New Roman" w:eastAsia="宋体" w:hAnsi="Times New Roman" w:cs="Times New Roman" w:hint="eastAsia"/>
          <w:color w:val="333333"/>
          <w:sz w:val="24"/>
          <w:szCs w:val="24"/>
          <w:shd w:val="clear" w:color="auto" w:fill="FFFFFF"/>
        </w:rPr>
        <w:t>组提交的验收材料齐全规范，内容详实完整，符合验收要求；课题全面完成了合同任务，基于</w:t>
      </w:r>
      <w:r>
        <w:rPr>
          <w:rFonts w:ascii="Times New Roman" w:eastAsia="宋体" w:hAnsi="Times New Roman" w:cs="Times New Roman" w:hint="eastAsia"/>
          <w:color w:val="333333"/>
          <w:sz w:val="24"/>
          <w:szCs w:val="24"/>
          <w:shd w:val="clear" w:color="auto" w:fill="FFFFFF"/>
        </w:rPr>
        <w:t>3</w:t>
      </w:r>
      <w:r>
        <w:rPr>
          <w:rFonts w:ascii="Times New Roman" w:eastAsia="宋体" w:hAnsi="Times New Roman" w:cs="Times New Roman" w:hint="eastAsia"/>
          <w:color w:val="333333"/>
          <w:sz w:val="24"/>
          <w:szCs w:val="24"/>
          <w:shd w:val="clear" w:color="auto" w:fill="FFFFFF"/>
        </w:rPr>
        <w:t>S</w:t>
      </w:r>
      <w:r>
        <w:rPr>
          <w:rFonts w:ascii="Times New Roman" w:eastAsia="宋体" w:hAnsi="Times New Roman" w:cs="Times New Roman" w:hint="eastAsia"/>
          <w:color w:val="333333"/>
          <w:sz w:val="24"/>
          <w:szCs w:val="24"/>
          <w:shd w:val="clear" w:color="auto" w:fill="FFFFFF"/>
        </w:rPr>
        <w:t>技术提取水土流失因子信息，构建了土壤侵蚀遥感定量监测模型，系统分析了丘陵与平原矿区土壤侵蚀的时空演变规律及驱动因素，并针对高潜水位矿区沉陷积水问题，提出了水系贯通、湿地空间布局优化及生态修复模式等关键技术，研究成果在沛县、铜山等矿区整治中取得实效，为区域土地复垦与生态治理提供了科学支撑；课题经费使用符合相关规定，预算执行合理。专家组同意通过验收，建议进一步强化成果在煤炭资源枯竭地区的推广应用，并衔接最新政策与地方需求优化技术方案</w:t>
      </w:r>
      <w:r>
        <w:rPr>
          <w:rFonts w:ascii="Times New Roman" w:eastAsia="宋体" w:hAnsi="Times New Roman" w:cs="Times New Roman"/>
          <w:color w:val="333333"/>
          <w:sz w:val="24"/>
          <w:szCs w:val="24"/>
          <w:shd w:val="clear" w:color="auto" w:fill="FFFFFF"/>
        </w:rPr>
        <w:t>。</w:t>
      </w:r>
    </w:p>
    <w:p w14:paraId="3C97D232" w14:textId="77777777" w:rsidR="003D69D6" w:rsidRDefault="003C5688">
      <w:pPr>
        <w:spacing w:line="400" w:lineRule="exact"/>
        <w:ind w:firstLineChars="200" w:firstLine="482"/>
        <w:rPr>
          <w:rFonts w:ascii="Times New Roman" w:eastAsia="宋体" w:hAnsi="Times New Roman" w:cs="Times New Roman"/>
          <w:color w:val="333333"/>
          <w:sz w:val="24"/>
          <w:szCs w:val="24"/>
          <w:shd w:val="clear" w:color="auto" w:fill="FFFFFF"/>
        </w:rPr>
      </w:pPr>
      <w:r>
        <w:rPr>
          <w:rFonts w:ascii="宋体" w:eastAsia="宋体" w:hAnsi="宋体" w:cs="Times New Roman"/>
          <w:b/>
          <w:color w:val="333333"/>
          <w:sz w:val="24"/>
          <w:szCs w:val="24"/>
          <w:shd w:val="clear" w:color="auto" w:fill="FFFFFF"/>
        </w:rPr>
        <w:t>2</w:t>
      </w:r>
      <w:r>
        <w:rPr>
          <w:rFonts w:ascii="宋体" w:eastAsia="宋体" w:hAnsi="宋体" w:cs="Times New Roman"/>
          <w:b/>
          <w:color w:val="333333"/>
          <w:sz w:val="24"/>
          <w:szCs w:val="24"/>
          <w:shd w:val="clear" w:color="auto" w:fill="FFFFFF"/>
        </w:rPr>
        <w:t>、备案意见：</w:t>
      </w:r>
      <w:r>
        <w:rPr>
          <w:rFonts w:ascii="Times New Roman" w:eastAsia="宋体" w:hAnsi="Times New Roman" w:cs="Times New Roman"/>
          <w:color w:val="333333"/>
          <w:sz w:val="24"/>
          <w:szCs w:val="24"/>
          <w:shd w:val="clear" w:color="auto" w:fill="FFFFFF"/>
        </w:rPr>
        <w:t>该项目依托科技部国家基础性工作专项重点项目，编制完成《西部煤矿区自然地理与环境本底调查规程》、《西部重点煤矿区自然地理与环境本底调查图集设计规划》，</w:t>
      </w:r>
      <w:r>
        <w:rPr>
          <w:rFonts w:ascii="Times New Roman" w:eastAsia="宋体" w:hAnsi="Times New Roman" w:cs="Times New Roman" w:hint="eastAsia"/>
          <w:color w:val="333333"/>
          <w:sz w:val="24"/>
          <w:szCs w:val="24"/>
          <w:shd w:val="clear" w:color="auto" w:fill="FFFFFF"/>
        </w:rPr>
        <w:t>分别由</w:t>
      </w:r>
      <w:r>
        <w:rPr>
          <w:rFonts w:ascii="Times New Roman" w:eastAsia="宋体" w:hAnsi="Times New Roman" w:cs="Times New Roman"/>
          <w:color w:val="333333"/>
          <w:sz w:val="24"/>
          <w:szCs w:val="24"/>
          <w:shd w:val="clear" w:color="auto" w:fill="FFFFFF"/>
        </w:rPr>
        <w:t>2019</w:t>
      </w:r>
      <w:r>
        <w:rPr>
          <w:rFonts w:ascii="Times New Roman" w:eastAsia="宋体" w:hAnsi="Times New Roman" w:cs="Times New Roman"/>
          <w:color w:val="333333"/>
          <w:sz w:val="24"/>
          <w:szCs w:val="24"/>
          <w:shd w:val="clear" w:color="auto" w:fill="FFFFFF"/>
        </w:rPr>
        <w:t>年</w:t>
      </w:r>
      <w:r>
        <w:rPr>
          <w:rFonts w:ascii="Times New Roman" w:eastAsia="宋体" w:hAnsi="Times New Roman" w:cs="Times New Roman"/>
          <w:color w:val="333333"/>
          <w:sz w:val="24"/>
          <w:szCs w:val="24"/>
          <w:shd w:val="clear" w:color="auto" w:fill="FFFFFF"/>
        </w:rPr>
        <w:t>5</w:t>
      </w:r>
      <w:r>
        <w:rPr>
          <w:rFonts w:ascii="Times New Roman" w:eastAsia="宋体" w:hAnsi="Times New Roman" w:cs="Times New Roman"/>
          <w:color w:val="333333"/>
          <w:sz w:val="24"/>
          <w:szCs w:val="24"/>
          <w:shd w:val="clear" w:color="auto" w:fill="FFFFFF"/>
        </w:rPr>
        <w:t>月</w:t>
      </w:r>
      <w:r>
        <w:rPr>
          <w:rFonts w:ascii="Times New Roman" w:eastAsia="宋体" w:hAnsi="Times New Roman" w:cs="Times New Roman"/>
          <w:color w:val="333333"/>
          <w:sz w:val="24"/>
          <w:szCs w:val="24"/>
          <w:shd w:val="clear" w:color="auto" w:fill="FFFFFF"/>
        </w:rPr>
        <w:t>21</w:t>
      </w:r>
      <w:r>
        <w:rPr>
          <w:rFonts w:ascii="Times New Roman" w:eastAsia="宋体" w:hAnsi="Times New Roman" w:cs="Times New Roman"/>
          <w:color w:val="333333"/>
          <w:sz w:val="24"/>
          <w:szCs w:val="24"/>
          <w:shd w:val="clear" w:color="auto" w:fill="FFFFFF"/>
        </w:rPr>
        <w:t>日经全国国土资源标准化技术委员会土地整治保护分技术委员会和</w:t>
      </w:r>
      <w:r>
        <w:rPr>
          <w:rFonts w:ascii="Times New Roman" w:eastAsia="宋体" w:hAnsi="Times New Roman" w:cs="Times New Roman"/>
          <w:color w:val="333333"/>
          <w:sz w:val="24"/>
          <w:szCs w:val="24"/>
          <w:shd w:val="clear" w:color="auto" w:fill="FFFFFF"/>
        </w:rPr>
        <w:t>2019</w:t>
      </w:r>
      <w:r>
        <w:rPr>
          <w:rFonts w:ascii="Times New Roman" w:eastAsia="宋体" w:hAnsi="Times New Roman" w:cs="Times New Roman"/>
          <w:color w:val="333333"/>
          <w:sz w:val="24"/>
          <w:szCs w:val="24"/>
          <w:shd w:val="clear" w:color="auto" w:fill="FFFFFF"/>
        </w:rPr>
        <w:t>年</w:t>
      </w:r>
      <w:r>
        <w:rPr>
          <w:rFonts w:ascii="Times New Roman" w:eastAsia="宋体" w:hAnsi="Times New Roman" w:cs="Times New Roman"/>
          <w:color w:val="333333"/>
          <w:sz w:val="24"/>
          <w:szCs w:val="24"/>
          <w:shd w:val="clear" w:color="auto" w:fill="FFFFFF"/>
        </w:rPr>
        <w:t>6</w:t>
      </w:r>
      <w:r>
        <w:rPr>
          <w:rFonts w:ascii="Times New Roman" w:eastAsia="宋体" w:hAnsi="Times New Roman" w:cs="Times New Roman"/>
          <w:color w:val="333333"/>
          <w:sz w:val="24"/>
          <w:szCs w:val="24"/>
          <w:shd w:val="clear" w:color="auto" w:fill="FFFFFF"/>
        </w:rPr>
        <w:t>月</w:t>
      </w:r>
      <w:r>
        <w:rPr>
          <w:rFonts w:ascii="Times New Roman" w:eastAsia="宋体" w:hAnsi="Times New Roman" w:cs="Times New Roman"/>
          <w:color w:val="333333"/>
          <w:sz w:val="24"/>
          <w:szCs w:val="24"/>
          <w:shd w:val="clear" w:color="auto" w:fill="FFFFFF"/>
        </w:rPr>
        <w:t>18</w:t>
      </w:r>
      <w:r>
        <w:rPr>
          <w:rFonts w:ascii="Times New Roman" w:eastAsia="宋体" w:hAnsi="Times New Roman" w:cs="Times New Roman"/>
          <w:color w:val="333333"/>
          <w:sz w:val="24"/>
          <w:szCs w:val="24"/>
          <w:shd w:val="clear" w:color="auto" w:fill="FFFFFF"/>
        </w:rPr>
        <w:t>日</w:t>
      </w:r>
      <w:r>
        <w:rPr>
          <w:rFonts w:ascii="Times New Roman" w:eastAsia="宋体" w:hAnsi="Times New Roman" w:cs="Times New Roman" w:hint="eastAsia"/>
          <w:color w:val="333333"/>
          <w:sz w:val="24"/>
          <w:szCs w:val="24"/>
          <w:shd w:val="clear" w:color="auto" w:fill="FFFFFF"/>
        </w:rPr>
        <w:t>经</w:t>
      </w:r>
      <w:r>
        <w:rPr>
          <w:rFonts w:ascii="Times New Roman" w:eastAsia="宋体" w:hAnsi="Times New Roman" w:cs="Times New Roman"/>
          <w:color w:val="333333"/>
          <w:sz w:val="24"/>
          <w:szCs w:val="24"/>
          <w:shd w:val="clear" w:color="auto" w:fill="FFFFFF"/>
        </w:rPr>
        <w:t>土地利用节约监测分技</w:t>
      </w:r>
      <w:r>
        <w:rPr>
          <w:rFonts w:ascii="Times New Roman" w:eastAsia="宋体" w:hAnsi="Times New Roman" w:cs="Times New Roman"/>
          <w:color w:val="333333"/>
          <w:sz w:val="24"/>
          <w:szCs w:val="24"/>
          <w:shd w:val="clear" w:color="auto" w:fill="FFFFFF"/>
        </w:rPr>
        <w:lastRenderedPageBreak/>
        <w:t>术委员会审查，一致认为：两文件内容科学完整、层次清晰，分别系统规范了西部煤矿区自然地理与环境本底调查的目标、任务、技术流程及成果要求，以及专题地图集的制图原则、规范与工作流程，技术方法贴合实际需求且可操作性强，符合《标准的结构和编写规则》（</w:t>
      </w:r>
      <w:r>
        <w:rPr>
          <w:rFonts w:ascii="Times New Roman" w:eastAsia="宋体" w:hAnsi="Times New Roman" w:cs="Times New Roman"/>
          <w:color w:val="333333"/>
          <w:sz w:val="24"/>
          <w:szCs w:val="24"/>
          <w:shd w:val="clear" w:color="auto" w:fill="FFFFFF"/>
        </w:rPr>
        <w:t>GB/T 1.1-2009</w:t>
      </w:r>
      <w:r>
        <w:rPr>
          <w:rFonts w:ascii="Times New Roman" w:eastAsia="宋体" w:hAnsi="Times New Roman" w:cs="Times New Roman"/>
          <w:color w:val="333333"/>
          <w:sz w:val="24"/>
          <w:szCs w:val="24"/>
          <w:shd w:val="clear" w:color="auto" w:fill="FFFFFF"/>
        </w:rPr>
        <w:t>）要求，与现行技术标准协调一致，部分内容参考国际及行业标准，具备技术先进性和适用性；建议编制组结合审查意见完善后，按程序报国土资源标准化行政主管部门批准发布，是开展煤矿区本底调查工作的指导性文件</w:t>
      </w:r>
      <w:r>
        <w:rPr>
          <w:rFonts w:ascii="Times New Roman" w:eastAsia="宋体" w:hAnsi="Times New Roman" w:cs="Times New Roman" w:hint="eastAsia"/>
          <w:color w:val="333333"/>
          <w:sz w:val="24"/>
          <w:szCs w:val="24"/>
          <w:shd w:val="clear" w:color="auto" w:fill="FFFFFF"/>
        </w:rPr>
        <w:t>，</w:t>
      </w:r>
      <w:r>
        <w:rPr>
          <w:rFonts w:ascii="Times New Roman" w:eastAsia="宋体" w:hAnsi="Times New Roman" w:cs="Times New Roman"/>
          <w:color w:val="333333"/>
          <w:sz w:val="24"/>
          <w:szCs w:val="24"/>
          <w:shd w:val="clear" w:color="auto" w:fill="FFFFFF"/>
        </w:rPr>
        <w:t>为</w:t>
      </w:r>
      <w:r>
        <w:rPr>
          <w:rFonts w:ascii="Times New Roman" w:eastAsia="宋体" w:hAnsi="Times New Roman" w:cs="Times New Roman" w:hint="eastAsia"/>
          <w:color w:val="333333"/>
          <w:sz w:val="24"/>
          <w:szCs w:val="24"/>
          <w:shd w:val="clear" w:color="auto" w:fill="FFFFFF"/>
        </w:rPr>
        <w:t>煤炭资源枯竭地区</w:t>
      </w:r>
      <w:r>
        <w:rPr>
          <w:rFonts w:ascii="Times New Roman" w:eastAsia="宋体" w:hAnsi="Times New Roman" w:cs="Times New Roman"/>
          <w:color w:val="333333"/>
          <w:sz w:val="24"/>
          <w:szCs w:val="24"/>
          <w:shd w:val="clear" w:color="auto" w:fill="FFFFFF"/>
        </w:rPr>
        <w:t>土地退化调查、成果标准化及国土资源管理提供技术依据。</w:t>
      </w:r>
    </w:p>
    <w:p w14:paraId="4BCD8868" w14:textId="77777777" w:rsidR="003D69D6" w:rsidRDefault="003C5688">
      <w:pPr>
        <w:widowControl/>
        <w:spacing w:beforeLines="50" w:before="156" w:afterLines="50" w:after="156" w:line="480" w:lineRule="auto"/>
        <w:jc w:val="left"/>
        <w:rPr>
          <w:rFonts w:ascii="Times New Roman" w:eastAsia="宋体" w:hAnsi="Times New Roman" w:cs="Times New Roman"/>
          <w:b/>
          <w:color w:val="333333"/>
          <w:kern w:val="0"/>
          <w:sz w:val="28"/>
          <w:szCs w:val="24"/>
          <w:shd w:val="clear" w:color="auto" w:fill="FFFFFF"/>
        </w:rPr>
      </w:pPr>
      <w:r>
        <w:rPr>
          <w:rFonts w:ascii="Times New Roman" w:eastAsia="宋体" w:hAnsi="Times New Roman" w:cs="Times New Roman" w:hint="eastAsia"/>
          <w:b/>
          <w:color w:val="333333"/>
          <w:kern w:val="0"/>
          <w:sz w:val="28"/>
          <w:szCs w:val="24"/>
          <w:shd w:val="clear" w:color="auto" w:fill="FFFFFF"/>
        </w:rPr>
        <w:t>五、代表性专著论文目录</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111"/>
        <w:gridCol w:w="1276"/>
        <w:gridCol w:w="1276"/>
        <w:gridCol w:w="992"/>
      </w:tblGrid>
      <w:tr w:rsidR="003D69D6" w14:paraId="682AEFEA" w14:textId="77777777">
        <w:trPr>
          <w:trHeight w:val="907"/>
        </w:trPr>
        <w:tc>
          <w:tcPr>
            <w:tcW w:w="567" w:type="dxa"/>
            <w:vAlign w:val="center"/>
          </w:tcPr>
          <w:p w14:paraId="26F6ED93"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序号</w:t>
            </w:r>
          </w:p>
        </w:tc>
        <w:tc>
          <w:tcPr>
            <w:tcW w:w="4111" w:type="dxa"/>
            <w:vAlign w:val="center"/>
          </w:tcPr>
          <w:p w14:paraId="6A04FA8A"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论文专著名称</w:t>
            </w:r>
            <w:r>
              <w:rPr>
                <w:rFonts w:ascii="Times New Roman" w:eastAsia="宋体" w:hAnsi="Times New Roman" w:cs="Times New Roman"/>
                <w:szCs w:val="21"/>
              </w:rPr>
              <w:t>/</w:t>
            </w:r>
            <w:r>
              <w:rPr>
                <w:rFonts w:ascii="Times New Roman" w:eastAsia="宋体" w:hAnsi="Times New Roman" w:cs="Times New Roman"/>
                <w:szCs w:val="21"/>
              </w:rPr>
              <w:t>刊名</w:t>
            </w:r>
          </w:p>
          <w:p w14:paraId="5C0C6DAD"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w:t>
            </w:r>
            <w:r>
              <w:rPr>
                <w:rFonts w:ascii="Times New Roman" w:eastAsia="宋体" w:hAnsi="Times New Roman" w:cs="Times New Roman"/>
                <w:szCs w:val="21"/>
              </w:rPr>
              <w:t>作者</w:t>
            </w:r>
          </w:p>
        </w:tc>
        <w:tc>
          <w:tcPr>
            <w:tcW w:w="1276" w:type="dxa"/>
            <w:vAlign w:val="center"/>
          </w:tcPr>
          <w:p w14:paraId="63D8751D"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年卷页码</w:t>
            </w:r>
            <w:r>
              <w:rPr>
                <w:rFonts w:ascii="Times New Roman" w:eastAsia="宋体" w:hAnsi="Times New Roman" w:cs="Times New Roman"/>
                <w:szCs w:val="21"/>
              </w:rPr>
              <w:t>(xx</w:t>
            </w:r>
            <w:r>
              <w:rPr>
                <w:rFonts w:ascii="Times New Roman" w:eastAsia="宋体" w:hAnsi="Times New Roman" w:cs="Times New Roman"/>
                <w:szCs w:val="21"/>
              </w:rPr>
              <w:t>年</w:t>
            </w:r>
            <w:r>
              <w:rPr>
                <w:rFonts w:ascii="Times New Roman" w:eastAsia="宋体" w:hAnsi="Times New Roman" w:cs="Times New Roman"/>
                <w:szCs w:val="21"/>
              </w:rPr>
              <w:t>xx</w:t>
            </w:r>
            <w:r>
              <w:rPr>
                <w:rFonts w:ascii="Times New Roman" w:eastAsia="宋体" w:hAnsi="Times New Roman" w:cs="Times New Roman"/>
                <w:szCs w:val="21"/>
              </w:rPr>
              <w:t>卷</w:t>
            </w:r>
            <w:r>
              <w:rPr>
                <w:rFonts w:ascii="Times New Roman" w:eastAsia="宋体" w:hAnsi="Times New Roman" w:cs="Times New Roman"/>
                <w:szCs w:val="21"/>
              </w:rPr>
              <w:t>xx</w:t>
            </w:r>
            <w:r>
              <w:rPr>
                <w:rFonts w:ascii="Times New Roman" w:eastAsia="宋体" w:hAnsi="Times New Roman" w:cs="Times New Roman"/>
                <w:szCs w:val="21"/>
              </w:rPr>
              <w:t>页</w:t>
            </w:r>
            <w:r>
              <w:rPr>
                <w:rFonts w:ascii="Times New Roman" w:eastAsia="宋体" w:hAnsi="Times New Roman" w:cs="Times New Roman"/>
                <w:szCs w:val="21"/>
              </w:rPr>
              <w:t>)</w:t>
            </w:r>
          </w:p>
        </w:tc>
        <w:tc>
          <w:tcPr>
            <w:tcW w:w="1276" w:type="dxa"/>
            <w:vAlign w:val="center"/>
          </w:tcPr>
          <w:p w14:paraId="0211CFA0"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发表时间</w:t>
            </w:r>
          </w:p>
          <w:p w14:paraId="0056EACC"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年</w:t>
            </w:r>
            <w:r>
              <w:rPr>
                <w:rFonts w:ascii="Times New Roman" w:eastAsia="宋体" w:hAnsi="Times New Roman" w:cs="Times New Roman"/>
                <w:szCs w:val="21"/>
              </w:rPr>
              <w:t xml:space="preserve"> </w:t>
            </w:r>
            <w:r>
              <w:rPr>
                <w:rFonts w:ascii="Times New Roman" w:eastAsia="宋体" w:hAnsi="Times New Roman" w:cs="Times New Roman"/>
                <w:szCs w:val="21"/>
              </w:rPr>
              <w:t>月</w:t>
            </w:r>
            <w:r>
              <w:rPr>
                <w:rFonts w:ascii="Times New Roman" w:eastAsia="宋体" w:hAnsi="Times New Roman" w:cs="Times New Roman"/>
                <w:szCs w:val="21"/>
              </w:rPr>
              <w:t xml:space="preserve"> </w:t>
            </w:r>
            <w:r>
              <w:rPr>
                <w:rFonts w:ascii="Times New Roman" w:eastAsia="宋体" w:hAnsi="Times New Roman" w:cs="Times New Roman"/>
                <w:szCs w:val="21"/>
              </w:rPr>
              <w:t>日</w:t>
            </w:r>
          </w:p>
        </w:tc>
        <w:tc>
          <w:tcPr>
            <w:tcW w:w="992" w:type="dxa"/>
            <w:vAlign w:val="center"/>
          </w:tcPr>
          <w:p w14:paraId="217A3409" w14:textId="77777777" w:rsidR="003D69D6" w:rsidRDefault="003C5688">
            <w:pPr>
              <w:snapToGrid w:val="0"/>
              <w:jc w:val="center"/>
              <w:rPr>
                <w:rFonts w:ascii="Times New Roman" w:eastAsia="宋体" w:hAnsi="Times New Roman" w:cs="Times New Roman"/>
                <w:szCs w:val="21"/>
              </w:rPr>
            </w:pPr>
            <w:r>
              <w:rPr>
                <w:rFonts w:ascii="Times New Roman" w:eastAsia="宋体" w:hAnsi="Times New Roman" w:cs="Times New Roman"/>
                <w:szCs w:val="21"/>
              </w:rPr>
              <w:t>通讯作者</w:t>
            </w:r>
            <w:r>
              <w:rPr>
                <w:rFonts w:ascii="Times New Roman" w:eastAsia="宋体" w:hAnsi="Times New Roman" w:cs="Times New Roman"/>
                <w:szCs w:val="21"/>
              </w:rPr>
              <w:t>/</w:t>
            </w:r>
            <w:r>
              <w:rPr>
                <w:rFonts w:ascii="Times New Roman" w:eastAsia="宋体" w:hAnsi="Times New Roman" w:cs="Times New Roman"/>
                <w:szCs w:val="21"/>
              </w:rPr>
              <w:t>第一作者</w:t>
            </w:r>
          </w:p>
        </w:tc>
      </w:tr>
      <w:tr w:rsidR="003D69D6" w14:paraId="33F5E7B3" w14:textId="77777777">
        <w:trPr>
          <w:trHeight w:val="737"/>
        </w:trPr>
        <w:tc>
          <w:tcPr>
            <w:tcW w:w="567" w:type="dxa"/>
            <w:vAlign w:val="center"/>
          </w:tcPr>
          <w:p w14:paraId="5242CBDC"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1</w:t>
            </w:r>
          </w:p>
        </w:tc>
        <w:tc>
          <w:tcPr>
            <w:tcW w:w="4111" w:type="dxa"/>
            <w:vAlign w:val="center"/>
          </w:tcPr>
          <w:p w14:paraId="67938751"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 xml:space="preserve">Good governance can save China’s </w:t>
            </w:r>
            <w:r>
              <w:rPr>
                <w:rFonts w:ascii="Times New Roman" w:hAnsi="Times New Roman" w:cs="Times New Roman"/>
                <w:szCs w:val="21"/>
              </w:rPr>
              <w:t>mine ecosystems /</w:t>
            </w:r>
            <w:r>
              <w:rPr>
                <w:rFonts w:ascii="Times New Roman" w:hAnsi="Times New Roman" w:cs="Times New Roman"/>
              </w:rPr>
              <w:t xml:space="preserve"> </w:t>
            </w:r>
            <w:r>
              <w:rPr>
                <w:rFonts w:ascii="Times New Roman" w:hAnsi="Times New Roman" w:cs="Times New Roman"/>
                <w:szCs w:val="21"/>
              </w:rPr>
              <w:t>Science /</w:t>
            </w:r>
            <w:r>
              <w:rPr>
                <w:rFonts w:ascii="Times New Roman" w:hAnsi="Times New Roman" w:cs="Times New Roman"/>
              </w:rPr>
              <w:t xml:space="preserve"> </w:t>
            </w:r>
            <w:r>
              <w:rPr>
                <w:rFonts w:ascii="Times New Roman" w:hAnsi="Times New Roman" w:cs="Times New Roman"/>
                <w:szCs w:val="21"/>
              </w:rPr>
              <w:t>Ma W,</w:t>
            </w:r>
            <w:r>
              <w:rPr>
                <w:rFonts w:ascii="Times New Roman" w:hAnsi="Times New Roman" w:cs="Times New Roman"/>
              </w:rPr>
              <w:t xml:space="preserve"> </w:t>
            </w:r>
            <w:r>
              <w:rPr>
                <w:rFonts w:ascii="Times New Roman" w:hAnsi="Times New Roman" w:cs="Times New Roman"/>
                <w:szCs w:val="21"/>
              </w:rPr>
              <w:t>Li H,</w:t>
            </w:r>
            <w:r>
              <w:rPr>
                <w:rFonts w:ascii="Times New Roman" w:hAnsi="Times New Roman" w:cs="Times New Roman"/>
              </w:rPr>
              <w:t xml:space="preserve"> </w:t>
            </w:r>
            <w:r>
              <w:rPr>
                <w:rFonts w:ascii="Times New Roman" w:hAnsi="Times New Roman" w:cs="Times New Roman"/>
                <w:szCs w:val="21"/>
              </w:rPr>
              <w:t>Lei S, Xu X, Xue S</w:t>
            </w:r>
          </w:p>
        </w:tc>
        <w:tc>
          <w:tcPr>
            <w:tcW w:w="1276" w:type="dxa"/>
            <w:vAlign w:val="center"/>
          </w:tcPr>
          <w:p w14:paraId="6E475BA4"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2024, </w:t>
            </w:r>
          </w:p>
          <w:p w14:paraId="4293A46E"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383: </w:t>
            </w:r>
          </w:p>
          <w:p w14:paraId="7A50EDDB"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157-158</w:t>
            </w:r>
          </w:p>
        </w:tc>
        <w:tc>
          <w:tcPr>
            <w:tcW w:w="1276" w:type="dxa"/>
            <w:vAlign w:val="center"/>
          </w:tcPr>
          <w:p w14:paraId="0DC1F268"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2024-01-11</w:t>
            </w:r>
          </w:p>
        </w:tc>
        <w:tc>
          <w:tcPr>
            <w:tcW w:w="992" w:type="dxa"/>
            <w:vAlign w:val="center"/>
          </w:tcPr>
          <w:p w14:paraId="647D3F65"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李海东</w:t>
            </w:r>
            <w:r>
              <w:rPr>
                <w:rFonts w:ascii="Times New Roman" w:hAnsi="Times New Roman" w:cs="Times New Roman"/>
                <w:szCs w:val="21"/>
              </w:rPr>
              <w:t>/</w:t>
            </w:r>
            <w:r>
              <w:rPr>
                <w:rFonts w:ascii="Times New Roman" w:hAnsi="Times New Roman" w:cs="Times New Roman"/>
                <w:szCs w:val="21"/>
              </w:rPr>
              <w:t>马伟波</w:t>
            </w:r>
            <w:r>
              <w:rPr>
                <w:rFonts w:ascii="Times New Roman" w:hAnsi="Times New Roman" w:cs="Times New Roman"/>
                <w:szCs w:val="21"/>
              </w:rPr>
              <w:t xml:space="preserve"> </w:t>
            </w:r>
          </w:p>
        </w:tc>
      </w:tr>
      <w:tr w:rsidR="003D69D6" w14:paraId="35821737" w14:textId="77777777">
        <w:trPr>
          <w:trHeight w:val="1247"/>
        </w:trPr>
        <w:tc>
          <w:tcPr>
            <w:tcW w:w="567" w:type="dxa"/>
            <w:vAlign w:val="center"/>
          </w:tcPr>
          <w:p w14:paraId="7BC687FA"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2</w:t>
            </w:r>
          </w:p>
        </w:tc>
        <w:tc>
          <w:tcPr>
            <w:tcW w:w="4111" w:type="dxa"/>
            <w:vAlign w:val="center"/>
          </w:tcPr>
          <w:p w14:paraId="0A5B8CBE"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Spatial distribution of lead concentration in peri-urban soil: Threshold and interaction effects of environmental variables/</w:t>
            </w:r>
            <w:r>
              <w:rPr>
                <w:rFonts w:ascii="Times New Roman" w:hAnsi="Times New Roman" w:cs="Times New Roman"/>
              </w:rPr>
              <w:t xml:space="preserve"> </w:t>
            </w:r>
            <w:r>
              <w:rPr>
                <w:rFonts w:ascii="Times New Roman" w:hAnsi="Times New Roman" w:cs="Times New Roman"/>
                <w:szCs w:val="21"/>
              </w:rPr>
              <w:t xml:space="preserve">Geoderma/Wu Z, Chen Y, Yang </w:t>
            </w:r>
            <w:r>
              <w:rPr>
                <w:rFonts w:ascii="Times New Roman" w:hAnsi="Times New Roman" w:cs="Times New Roman"/>
                <w:szCs w:val="21"/>
              </w:rPr>
              <w:t>Z, Liu Y, Zhu Y, Tong Z, An R</w:t>
            </w:r>
          </w:p>
        </w:tc>
        <w:tc>
          <w:tcPr>
            <w:tcW w:w="1276" w:type="dxa"/>
            <w:vAlign w:val="center"/>
          </w:tcPr>
          <w:p w14:paraId="71B2EBE6" w14:textId="77777777" w:rsidR="003D69D6" w:rsidRDefault="003C5688">
            <w:pPr>
              <w:jc w:val="center"/>
              <w:rPr>
                <w:rFonts w:ascii="Times New Roman" w:hAnsi="Times New Roman" w:cs="Times New Roman"/>
                <w:szCs w:val="21"/>
              </w:rPr>
            </w:pPr>
            <w:r>
              <w:rPr>
                <w:rFonts w:ascii="Times New Roman" w:hAnsi="Times New Roman" w:cs="Times New Roman"/>
                <w:szCs w:val="21"/>
              </w:rPr>
              <w:t>2023,</w:t>
            </w:r>
          </w:p>
          <w:p w14:paraId="7810C85E"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429, </w:t>
            </w:r>
          </w:p>
          <w:p w14:paraId="2EAB16A5"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116193</w:t>
            </w:r>
          </w:p>
        </w:tc>
        <w:tc>
          <w:tcPr>
            <w:tcW w:w="1276" w:type="dxa"/>
            <w:vAlign w:val="center"/>
          </w:tcPr>
          <w:p w14:paraId="74908D82"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2023-01-01</w:t>
            </w:r>
          </w:p>
        </w:tc>
        <w:tc>
          <w:tcPr>
            <w:tcW w:w="992" w:type="dxa"/>
            <w:vAlign w:val="center"/>
          </w:tcPr>
          <w:p w14:paraId="68919EB3"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陈奕云</w:t>
            </w:r>
            <w:r>
              <w:rPr>
                <w:rFonts w:ascii="Times New Roman" w:hAnsi="Times New Roman" w:cs="Times New Roman"/>
                <w:szCs w:val="21"/>
              </w:rPr>
              <w:t>/</w:t>
            </w:r>
            <w:r>
              <w:rPr>
                <w:rFonts w:ascii="Times New Roman" w:hAnsi="Times New Roman" w:cs="Times New Roman"/>
                <w:szCs w:val="21"/>
              </w:rPr>
              <w:t>吴子豪</w:t>
            </w:r>
          </w:p>
        </w:tc>
      </w:tr>
      <w:tr w:rsidR="003D69D6" w14:paraId="4AFE0251" w14:textId="77777777">
        <w:trPr>
          <w:trHeight w:val="1020"/>
        </w:trPr>
        <w:tc>
          <w:tcPr>
            <w:tcW w:w="567" w:type="dxa"/>
            <w:vAlign w:val="center"/>
          </w:tcPr>
          <w:p w14:paraId="5AC158D1"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3</w:t>
            </w:r>
          </w:p>
        </w:tc>
        <w:tc>
          <w:tcPr>
            <w:tcW w:w="4111" w:type="dxa"/>
            <w:vAlign w:val="center"/>
          </w:tcPr>
          <w:p w14:paraId="467940D6"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Spatio-Temporal Changes of Vegetation Cover and Its Influencing Factors in Northeast China from 2000 to 2021/</w:t>
            </w:r>
            <w:r>
              <w:rPr>
                <w:rFonts w:ascii="Times New Roman" w:hAnsi="Times New Roman" w:cs="Times New Roman"/>
              </w:rPr>
              <w:t xml:space="preserve"> </w:t>
            </w:r>
            <w:r>
              <w:rPr>
                <w:rFonts w:ascii="Times New Roman" w:hAnsi="Times New Roman" w:cs="Times New Roman"/>
                <w:szCs w:val="21"/>
              </w:rPr>
              <w:t>Remote Sensing/ Li M, Yan Q, Li G, Yi M, Li J</w:t>
            </w:r>
          </w:p>
        </w:tc>
        <w:tc>
          <w:tcPr>
            <w:tcW w:w="1276" w:type="dxa"/>
            <w:vAlign w:val="center"/>
          </w:tcPr>
          <w:p w14:paraId="4A4398D8" w14:textId="77777777" w:rsidR="003D69D6" w:rsidRDefault="003C5688">
            <w:pPr>
              <w:jc w:val="center"/>
              <w:rPr>
                <w:rFonts w:ascii="Times New Roman" w:hAnsi="Times New Roman" w:cs="Times New Roman"/>
                <w:szCs w:val="21"/>
              </w:rPr>
            </w:pPr>
            <w:r>
              <w:rPr>
                <w:rFonts w:ascii="Times New Roman" w:hAnsi="Times New Roman" w:cs="Times New Roman"/>
                <w:szCs w:val="21"/>
              </w:rPr>
              <w:t>2022,</w:t>
            </w:r>
          </w:p>
          <w:p w14:paraId="1E4B7781" w14:textId="77777777" w:rsidR="003D69D6" w:rsidRDefault="003C5688">
            <w:pPr>
              <w:jc w:val="center"/>
              <w:rPr>
                <w:rFonts w:ascii="Times New Roman" w:hAnsi="Times New Roman" w:cs="Times New Roman"/>
                <w:szCs w:val="21"/>
              </w:rPr>
            </w:pPr>
            <w:r>
              <w:rPr>
                <w:rFonts w:ascii="Times New Roman" w:hAnsi="Times New Roman" w:cs="Times New Roman"/>
                <w:szCs w:val="21"/>
              </w:rPr>
              <w:t>14(22):</w:t>
            </w:r>
          </w:p>
          <w:p w14:paraId="04B19D1B"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 xml:space="preserve"> 5720</w:t>
            </w:r>
          </w:p>
        </w:tc>
        <w:tc>
          <w:tcPr>
            <w:tcW w:w="1276" w:type="dxa"/>
            <w:vAlign w:val="center"/>
          </w:tcPr>
          <w:p w14:paraId="2CE4C8E3"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2022-11-12</w:t>
            </w:r>
          </w:p>
        </w:tc>
        <w:tc>
          <w:tcPr>
            <w:tcW w:w="992" w:type="dxa"/>
            <w:vAlign w:val="center"/>
          </w:tcPr>
          <w:p w14:paraId="5FFB6928"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闫庆武</w:t>
            </w:r>
            <w:r>
              <w:rPr>
                <w:rFonts w:ascii="Times New Roman" w:hAnsi="Times New Roman" w:cs="Times New Roman"/>
                <w:szCs w:val="21"/>
              </w:rPr>
              <w:t>/</w:t>
            </w:r>
            <w:r>
              <w:rPr>
                <w:rFonts w:ascii="Times New Roman" w:hAnsi="Times New Roman" w:cs="Times New Roman"/>
                <w:szCs w:val="21"/>
              </w:rPr>
              <w:t>李茂林</w:t>
            </w:r>
          </w:p>
        </w:tc>
      </w:tr>
      <w:tr w:rsidR="003D69D6" w14:paraId="448983FA" w14:textId="77777777">
        <w:trPr>
          <w:trHeight w:val="1020"/>
        </w:trPr>
        <w:tc>
          <w:tcPr>
            <w:tcW w:w="567" w:type="dxa"/>
            <w:vAlign w:val="center"/>
          </w:tcPr>
          <w:p w14:paraId="0DABAEA7"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4</w:t>
            </w:r>
          </w:p>
        </w:tc>
        <w:tc>
          <w:tcPr>
            <w:tcW w:w="4111" w:type="dxa"/>
            <w:vAlign w:val="center"/>
          </w:tcPr>
          <w:p w14:paraId="0E57EC40"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A New Model for three-dimensional Deformation Extraction with Single-track InSAR Based on Mining Subsidence Characteristics/</w:t>
            </w:r>
            <w:r>
              <w:rPr>
                <w:rFonts w:ascii="Times New Roman" w:hAnsi="Times New Roman" w:cs="Times New Roman"/>
              </w:rPr>
              <w:t xml:space="preserve"> </w:t>
            </w:r>
            <w:r>
              <w:rPr>
                <w:rFonts w:ascii="Times New Roman" w:hAnsi="Times New Roman" w:cs="Times New Roman"/>
                <w:szCs w:val="21"/>
              </w:rPr>
              <w:t>International Journal of Applied Earth Observation and Geoinformation/Fan H, Wang L, Wen B, Du S</w:t>
            </w:r>
          </w:p>
        </w:tc>
        <w:tc>
          <w:tcPr>
            <w:tcW w:w="1276" w:type="dxa"/>
            <w:vAlign w:val="center"/>
          </w:tcPr>
          <w:p w14:paraId="51D57858" w14:textId="77777777" w:rsidR="003D69D6" w:rsidRDefault="003C5688">
            <w:pPr>
              <w:jc w:val="center"/>
              <w:rPr>
                <w:rFonts w:ascii="Times New Roman" w:hAnsi="Times New Roman" w:cs="Times New Roman"/>
                <w:szCs w:val="21"/>
              </w:rPr>
            </w:pPr>
            <w:r>
              <w:rPr>
                <w:rFonts w:ascii="Times New Roman" w:hAnsi="Times New Roman" w:cs="Times New Roman"/>
                <w:szCs w:val="21"/>
              </w:rPr>
              <w:t>2021,</w:t>
            </w:r>
          </w:p>
          <w:p w14:paraId="0576B585" w14:textId="77777777" w:rsidR="003D69D6" w:rsidRDefault="003C5688">
            <w:pPr>
              <w:jc w:val="center"/>
              <w:rPr>
                <w:rFonts w:ascii="Times New Roman" w:hAnsi="Times New Roman" w:cs="Times New Roman"/>
                <w:szCs w:val="21"/>
              </w:rPr>
            </w:pPr>
            <w:r>
              <w:rPr>
                <w:rFonts w:ascii="Times New Roman" w:hAnsi="Times New Roman" w:cs="Times New Roman"/>
                <w:szCs w:val="21"/>
              </w:rPr>
              <w:t>94:</w:t>
            </w:r>
          </w:p>
          <w:p w14:paraId="508089C7"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102223</w:t>
            </w:r>
          </w:p>
        </w:tc>
        <w:tc>
          <w:tcPr>
            <w:tcW w:w="1276" w:type="dxa"/>
            <w:vAlign w:val="center"/>
          </w:tcPr>
          <w:p w14:paraId="6E3280B7"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2021-02-08</w:t>
            </w:r>
          </w:p>
        </w:tc>
        <w:tc>
          <w:tcPr>
            <w:tcW w:w="992" w:type="dxa"/>
            <w:vAlign w:val="center"/>
          </w:tcPr>
          <w:p w14:paraId="2280DC20"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范洪冬</w:t>
            </w:r>
            <w:r>
              <w:rPr>
                <w:rFonts w:ascii="Times New Roman" w:hAnsi="Times New Roman" w:cs="Times New Roman"/>
                <w:szCs w:val="21"/>
              </w:rPr>
              <w:t>/</w:t>
            </w:r>
            <w:r>
              <w:rPr>
                <w:rFonts w:ascii="Times New Roman" w:hAnsi="Times New Roman" w:cs="Times New Roman"/>
              </w:rPr>
              <w:t>范洪冬</w:t>
            </w:r>
          </w:p>
        </w:tc>
      </w:tr>
      <w:tr w:rsidR="003D69D6" w14:paraId="7FAED110" w14:textId="77777777">
        <w:trPr>
          <w:trHeight w:val="794"/>
        </w:trPr>
        <w:tc>
          <w:tcPr>
            <w:tcW w:w="567" w:type="dxa"/>
            <w:vAlign w:val="center"/>
          </w:tcPr>
          <w:p w14:paraId="6A98EB2E"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5</w:t>
            </w:r>
          </w:p>
        </w:tc>
        <w:tc>
          <w:tcPr>
            <w:tcW w:w="4111" w:type="dxa"/>
            <w:vAlign w:val="center"/>
          </w:tcPr>
          <w:p w14:paraId="078329FE"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Estimating the distribution trend of soil heavy metals in mining area from HyMap airborne hyperspectral imagery based on ensemble learning/</w:t>
            </w:r>
            <w:r>
              <w:rPr>
                <w:rFonts w:ascii="Times New Roman" w:hAnsi="Times New Roman" w:cs="Times New Roman"/>
              </w:rPr>
              <w:t xml:space="preserve"> </w:t>
            </w:r>
            <w:r>
              <w:rPr>
                <w:rFonts w:ascii="Times New Roman" w:hAnsi="Times New Roman" w:cs="Times New Roman"/>
                <w:szCs w:val="21"/>
              </w:rPr>
              <w:t xml:space="preserve">Journal of Hazardous Materials/Tan K, Ma W, Chen L, Wang H, Du Q, Du P, Yan B, Liu R, </w:t>
            </w:r>
            <w:r>
              <w:rPr>
                <w:rFonts w:ascii="Times New Roman" w:hAnsi="Times New Roman" w:cs="Times New Roman"/>
                <w:szCs w:val="21"/>
              </w:rPr>
              <w:t>Li H</w:t>
            </w:r>
          </w:p>
        </w:tc>
        <w:tc>
          <w:tcPr>
            <w:tcW w:w="1276" w:type="dxa"/>
            <w:vAlign w:val="center"/>
          </w:tcPr>
          <w:p w14:paraId="06124FC9"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2021, </w:t>
            </w:r>
          </w:p>
          <w:p w14:paraId="078B965C"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401: </w:t>
            </w:r>
          </w:p>
          <w:p w14:paraId="4DEEA66D"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123288</w:t>
            </w:r>
          </w:p>
        </w:tc>
        <w:tc>
          <w:tcPr>
            <w:tcW w:w="1276" w:type="dxa"/>
            <w:vAlign w:val="center"/>
          </w:tcPr>
          <w:p w14:paraId="5773836E"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2021-01-05</w:t>
            </w:r>
          </w:p>
        </w:tc>
        <w:tc>
          <w:tcPr>
            <w:tcW w:w="992" w:type="dxa"/>
            <w:vAlign w:val="center"/>
          </w:tcPr>
          <w:p w14:paraId="0585F904"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马伟波</w:t>
            </w:r>
            <w:r>
              <w:rPr>
                <w:rFonts w:ascii="Times New Roman" w:hAnsi="Times New Roman" w:cs="Times New Roman"/>
                <w:szCs w:val="21"/>
              </w:rPr>
              <w:t>/</w:t>
            </w:r>
            <w:r>
              <w:rPr>
                <w:rFonts w:ascii="Times New Roman" w:hAnsi="Times New Roman" w:cs="Times New Roman"/>
                <w:szCs w:val="21"/>
              </w:rPr>
              <w:t>谭琨</w:t>
            </w:r>
          </w:p>
        </w:tc>
      </w:tr>
      <w:tr w:rsidR="003D69D6" w14:paraId="6638B2A2" w14:textId="77777777">
        <w:trPr>
          <w:trHeight w:val="983"/>
        </w:trPr>
        <w:tc>
          <w:tcPr>
            <w:tcW w:w="567" w:type="dxa"/>
            <w:vAlign w:val="center"/>
          </w:tcPr>
          <w:p w14:paraId="70973F02"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6</w:t>
            </w:r>
          </w:p>
        </w:tc>
        <w:tc>
          <w:tcPr>
            <w:tcW w:w="4111" w:type="dxa"/>
            <w:vAlign w:val="center"/>
          </w:tcPr>
          <w:p w14:paraId="755914A7"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黄淮海典型采煤塌陷区水土空间格局模拟</w:t>
            </w:r>
            <w:r>
              <w:rPr>
                <w:rFonts w:ascii="Times New Roman" w:hAnsi="Times New Roman" w:cs="Times New Roman"/>
                <w:szCs w:val="21"/>
              </w:rPr>
              <w:t>/</w:t>
            </w:r>
            <w:r>
              <w:rPr>
                <w:rFonts w:ascii="Times New Roman" w:hAnsi="Times New Roman" w:cs="Times New Roman"/>
                <w:szCs w:val="21"/>
              </w:rPr>
              <w:t>煤炭学报</w:t>
            </w:r>
            <w:r>
              <w:rPr>
                <w:rFonts w:ascii="Times New Roman" w:hAnsi="Times New Roman" w:cs="Times New Roman"/>
                <w:szCs w:val="21"/>
              </w:rPr>
              <w:t>/</w:t>
            </w:r>
            <w:r>
              <w:rPr>
                <w:rFonts w:ascii="Times New Roman" w:hAnsi="Times New Roman" w:cs="Times New Roman"/>
                <w:szCs w:val="21"/>
              </w:rPr>
              <w:t>渠俊峰</w:t>
            </w:r>
            <w:r>
              <w:rPr>
                <w:rFonts w:ascii="Times New Roman" w:hAnsi="Times New Roman" w:cs="Times New Roman"/>
                <w:szCs w:val="21"/>
              </w:rPr>
              <w:t xml:space="preserve">, </w:t>
            </w:r>
            <w:r>
              <w:rPr>
                <w:rFonts w:ascii="Times New Roman" w:hAnsi="Times New Roman" w:cs="Times New Roman"/>
                <w:szCs w:val="21"/>
              </w:rPr>
              <w:t>单金霞</w:t>
            </w:r>
            <w:r>
              <w:rPr>
                <w:rFonts w:ascii="Times New Roman" w:hAnsi="Times New Roman" w:cs="Times New Roman"/>
                <w:szCs w:val="21"/>
              </w:rPr>
              <w:t xml:space="preserve">, </w:t>
            </w:r>
            <w:r>
              <w:rPr>
                <w:rFonts w:ascii="Times New Roman" w:hAnsi="Times New Roman" w:cs="Times New Roman"/>
                <w:szCs w:val="21"/>
              </w:rPr>
              <w:t>周际</w:t>
            </w:r>
            <w:r>
              <w:rPr>
                <w:rFonts w:ascii="Times New Roman" w:hAnsi="Times New Roman" w:cs="Times New Roman"/>
                <w:szCs w:val="21"/>
              </w:rPr>
              <w:t xml:space="preserve">, </w:t>
            </w:r>
            <w:r>
              <w:rPr>
                <w:rFonts w:ascii="Times New Roman" w:hAnsi="Times New Roman" w:cs="Times New Roman"/>
                <w:szCs w:val="21"/>
              </w:rPr>
              <w:t>谭敏</w:t>
            </w:r>
            <w:r>
              <w:rPr>
                <w:rFonts w:ascii="Times New Roman" w:hAnsi="Times New Roman" w:cs="Times New Roman"/>
                <w:szCs w:val="21"/>
              </w:rPr>
              <w:t xml:space="preserve">, </w:t>
            </w:r>
            <w:r>
              <w:rPr>
                <w:rFonts w:ascii="Times New Roman" w:hAnsi="Times New Roman" w:cs="Times New Roman"/>
                <w:szCs w:val="21"/>
              </w:rPr>
              <w:t>王安妮</w:t>
            </w:r>
            <w:r>
              <w:rPr>
                <w:rFonts w:ascii="Times New Roman" w:hAnsi="Times New Roman" w:cs="Times New Roman"/>
                <w:szCs w:val="21"/>
              </w:rPr>
              <w:t xml:space="preserve">, </w:t>
            </w:r>
            <w:r>
              <w:rPr>
                <w:rFonts w:ascii="Times New Roman" w:hAnsi="Times New Roman" w:cs="Times New Roman"/>
                <w:szCs w:val="21"/>
              </w:rPr>
              <w:t>王坤</w:t>
            </w:r>
            <w:r>
              <w:rPr>
                <w:rFonts w:ascii="Times New Roman" w:hAnsi="Times New Roman" w:cs="Times New Roman"/>
                <w:szCs w:val="21"/>
              </w:rPr>
              <w:t xml:space="preserve">, </w:t>
            </w:r>
            <w:r>
              <w:rPr>
                <w:rFonts w:ascii="Times New Roman" w:hAnsi="Times New Roman" w:cs="Times New Roman"/>
                <w:szCs w:val="21"/>
              </w:rPr>
              <w:t>李钢</w:t>
            </w:r>
          </w:p>
        </w:tc>
        <w:tc>
          <w:tcPr>
            <w:tcW w:w="1276" w:type="dxa"/>
            <w:vAlign w:val="center"/>
          </w:tcPr>
          <w:p w14:paraId="37F281F0"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2018, </w:t>
            </w:r>
          </w:p>
          <w:p w14:paraId="6D6FAFDC" w14:textId="77777777" w:rsidR="003D69D6" w:rsidRDefault="003C5688">
            <w:pPr>
              <w:jc w:val="center"/>
              <w:rPr>
                <w:rFonts w:ascii="Times New Roman" w:hAnsi="Times New Roman" w:cs="Times New Roman"/>
                <w:szCs w:val="21"/>
              </w:rPr>
            </w:pPr>
            <w:r>
              <w:rPr>
                <w:rFonts w:ascii="Times New Roman" w:hAnsi="Times New Roman" w:cs="Times New Roman"/>
                <w:szCs w:val="21"/>
              </w:rPr>
              <w:t xml:space="preserve">2: </w:t>
            </w:r>
          </w:p>
          <w:p w14:paraId="354E5B47"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524-531</w:t>
            </w:r>
          </w:p>
        </w:tc>
        <w:tc>
          <w:tcPr>
            <w:tcW w:w="1276" w:type="dxa"/>
            <w:vAlign w:val="center"/>
          </w:tcPr>
          <w:p w14:paraId="1A1091BB"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2018-07-26</w:t>
            </w:r>
          </w:p>
        </w:tc>
        <w:tc>
          <w:tcPr>
            <w:tcW w:w="992" w:type="dxa"/>
            <w:vAlign w:val="center"/>
          </w:tcPr>
          <w:p w14:paraId="08B36BBC"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李钢</w:t>
            </w:r>
            <w:r>
              <w:rPr>
                <w:rFonts w:ascii="Times New Roman" w:hAnsi="Times New Roman" w:cs="Times New Roman"/>
                <w:szCs w:val="21"/>
              </w:rPr>
              <w:t>/</w:t>
            </w:r>
            <w:r>
              <w:rPr>
                <w:rFonts w:ascii="Times New Roman" w:hAnsi="Times New Roman" w:cs="Times New Roman"/>
                <w:szCs w:val="21"/>
              </w:rPr>
              <w:t>渠俊峰</w:t>
            </w:r>
          </w:p>
        </w:tc>
      </w:tr>
      <w:tr w:rsidR="003D69D6" w14:paraId="7ABE63B2" w14:textId="77777777">
        <w:trPr>
          <w:trHeight w:val="657"/>
        </w:trPr>
        <w:tc>
          <w:tcPr>
            <w:tcW w:w="567" w:type="dxa"/>
            <w:vAlign w:val="center"/>
          </w:tcPr>
          <w:p w14:paraId="2829D88E"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7</w:t>
            </w:r>
          </w:p>
        </w:tc>
        <w:tc>
          <w:tcPr>
            <w:tcW w:w="4111" w:type="dxa"/>
            <w:vAlign w:val="center"/>
          </w:tcPr>
          <w:p w14:paraId="6865820C"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资源枯竭型城市转型发展研究</w:t>
            </w:r>
            <w:r>
              <w:rPr>
                <w:rFonts w:ascii="Times New Roman" w:hAnsi="Times New Roman" w:cs="Times New Roman"/>
                <w:szCs w:val="21"/>
              </w:rPr>
              <w:t>/</w:t>
            </w:r>
            <w:r>
              <w:rPr>
                <w:rFonts w:ascii="Times New Roman" w:hAnsi="Times New Roman" w:cs="Times New Roman"/>
                <w:szCs w:val="21"/>
              </w:rPr>
              <w:t>中国矿业大学出版社</w:t>
            </w:r>
            <w:r>
              <w:rPr>
                <w:rFonts w:ascii="Times New Roman" w:hAnsi="Times New Roman" w:cs="Times New Roman"/>
                <w:szCs w:val="21"/>
              </w:rPr>
              <w:t>/</w:t>
            </w:r>
            <w:r>
              <w:rPr>
                <w:rFonts w:ascii="Times New Roman" w:hAnsi="Times New Roman" w:cs="Times New Roman"/>
                <w:szCs w:val="21"/>
              </w:rPr>
              <w:t>吴子豪</w:t>
            </w:r>
            <w:r>
              <w:rPr>
                <w:rFonts w:ascii="Times New Roman" w:hAnsi="Times New Roman" w:cs="Times New Roman"/>
                <w:szCs w:val="21"/>
              </w:rPr>
              <w:t xml:space="preserve">, </w:t>
            </w:r>
            <w:r>
              <w:rPr>
                <w:rFonts w:ascii="Times New Roman" w:hAnsi="Times New Roman" w:cs="Times New Roman"/>
                <w:szCs w:val="21"/>
              </w:rPr>
              <w:t>闫庆武</w:t>
            </w:r>
            <w:r>
              <w:rPr>
                <w:rFonts w:ascii="Times New Roman" w:hAnsi="Times New Roman" w:cs="Times New Roman"/>
                <w:szCs w:val="21"/>
              </w:rPr>
              <w:t xml:space="preserve">, </w:t>
            </w:r>
            <w:r>
              <w:rPr>
                <w:rFonts w:ascii="Times New Roman" w:hAnsi="Times New Roman" w:cs="Times New Roman"/>
                <w:szCs w:val="21"/>
              </w:rPr>
              <w:t>李桂娥</w:t>
            </w:r>
          </w:p>
        </w:tc>
        <w:tc>
          <w:tcPr>
            <w:tcW w:w="1276" w:type="dxa"/>
            <w:vAlign w:val="center"/>
          </w:tcPr>
          <w:p w14:paraId="4BDBA377"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2023.9</w:t>
            </w:r>
          </w:p>
        </w:tc>
        <w:tc>
          <w:tcPr>
            <w:tcW w:w="1276" w:type="dxa"/>
            <w:vAlign w:val="center"/>
          </w:tcPr>
          <w:p w14:paraId="441AF08F"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2023-09-01</w:t>
            </w:r>
          </w:p>
        </w:tc>
        <w:tc>
          <w:tcPr>
            <w:tcW w:w="992" w:type="dxa"/>
            <w:vAlign w:val="center"/>
          </w:tcPr>
          <w:p w14:paraId="588B801B"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吴子豪</w:t>
            </w:r>
          </w:p>
        </w:tc>
      </w:tr>
      <w:tr w:rsidR="003D69D6" w14:paraId="0539AE11" w14:textId="77777777">
        <w:trPr>
          <w:trHeight w:val="794"/>
        </w:trPr>
        <w:tc>
          <w:tcPr>
            <w:tcW w:w="567" w:type="dxa"/>
            <w:vAlign w:val="center"/>
          </w:tcPr>
          <w:p w14:paraId="7503A656" w14:textId="77777777" w:rsidR="003D69D6" w:rsidRDefault="003C5688">
            <w:pPr>
              <w:spacing w:line="360" w:lineRule="auto"/>
              <w:jc w:val="center"/>
              <w:rPr>
                <w:rFonts w:ascii="Times New Roman" w:eastAsia="宋体" w:hAnsi="Times New Roman" w:cs="Times New Roman"/>
                <w:szCs w:val="21"/>
              </w:rPr>
            </w:pPr>
            <w:r>
              <w:rPr>
                <w:rFonts w:ascii="Times New Roman" w:eastAsia="宋体" w:hAnsi="Times New Roman" w:cs="Times New Roman"/>
                <w:szCs w:val="21"/>
              </w:rPr>
              <w:t>8</w:t>
            </w:r>
          </w:p>
        </w:tc>
        <w:tc>
          <w:tcPr>
            <w:tcW w:w="4111" w:type="dxa"/>
            <w:vAlign w:val="center"/>
          </w:tcPr>
          <w:p w14:paraId="2811290E"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高潜水位采煤沉陷区复垦生态效应研究</w:t>
            </w:r>
            <w:r>
              <w:rPr>
                <w:rFonts w:ascii="Times New Roman" w:hAnsi="Times New Roman" w:cs="Times New Roman"/>
                <w:szCs w:val="21"/>
              </w:rPr>
              <w:t>/</w:t>
            </w:r>
            <w:r>
              <w:rPr>
                <w:rFonts w:ascii="Times New Roman" w:hAnsi="Times New Roman" w:cs="Times New Roman"/>
                <w:szCs w:val="21"/>
              </w:rPr>
              <w:t>合肥工业大学出版社</w:t>
            </w:r>
            <w:r>
              <w:rPr>
                <w:rFonts w:ascii="Times New Roman" w:hAnsi="Times New Roman" w:cs="Times New Roman"/>
                <w:szCs w:val="21"/>
              </w:rPr>
              <w:t>/</w:t>
            </w:r>
            <w:r>
              <w:rPr>
                <w:rFonts w:ascii="Times New Roman" w:hAnsi="Times New Roman" w:cs="Times New Roman"/>
                <w:szCs w:val="21"/>
              </w:rPr>
              <w:t>谭敏</w:t>
            </w:r>
            <w:r>
              <w:rPr>
                <w:rFonts w:ascii="Times New Roman" w:hAnsi="Times New Roman" w:cs="Times New Roman"/>
                <w:szCs w:val="21"/>
              </w:rPr>
              <w:t xml:space="preserve">, </w:t>
            </w:r>
            <w:r>
              <w:rPr>
                <w:rFonts w:ascii="Times New Roman" w:hAnsi="Times New Roman" w:cs="Times New Roman"/>
                <w:szCs w:val="21"/>
              </w:rPr>
              <w:t>董霁红</w:t>
            </w:r>
            <w:r>
              <w:rPr>
                <w:rFonts w:ascii="Times New Roman" w:hAnsi="Times New Roman" w:cs="Times New Roman"/>
                <w:szCs w:val="21"/>
              </w:rPr>
              <w:t xml:space="preserve">, </w:t>
            </w:r>
            <w:r>
              <w:rPr>
                <w:rFonts w:ascii="Times New Roman" w:hAnsi="Times New Roman" w:cs="Times New Roman"/>
                <w:szCs w:val="21"/>
              </w:rPr>
              <w:t>渠俊峰</w:t>
            </w:r>
            <w:r>
              <w:rPr>
                <w:rFonts w:ascii="Times New Roman" w:hAnsi="Times New Roman" w:cs="Times New Roman"/>
                <w:szCs w:val="21"/>
              </w:rPr>
              <w:t xml:space="preserve">, </w:t>
            </w:r>
            <w:r>
              <w:rPr>
                <w:rFonts w:ascii="Times New Roman" w:hAnsi="Times New Roman" w:cs="Times New Roman"/>
                <w:szCs w:val="21"/>
              </w:rPr>
              <w:t>郝明</w:t>
            </w:r>
          </w:p>
        </w:tc>
        <w:tc>
          <w:tcPr>
            <w:tcW w:w="1276" w:type="dxa"/>
            <w:vAlign w:val="center"/>
          </w:tcPr>
          <w:p w14:paraId="22FD9602"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2023.6</w:t>
            </w:r>
          </w:p>
        </w:tc>
        <w:tc>
          <w:tcPr>
            <w:tcW w:w="1276" w:type="dxa"/>
            <w:vAlign w:val="center"/>
          </w:tcPr>
          <w:p w14:paraId="7570A1A4"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2023-06-01</w:t>
            </w:r>
          </w:p>
        </w:tc>
        <w:tc>
          <w:tcPr>
            <w:tcW w:w="992" w:type="dxa"/>
            <w:vAlign w:val="center"/>
          </w:tcPr>
          <w:p w14:paraId="7CF60563" w14:textId="77777777" w:rsidR="003D69D6" w:rsidRDefault="003C5688">
            <w:pPr>
              <w:spacing w:line="240" w:lineRule="exact"/>
              <w:jc w:val="center"/>
              <w:rPr>
                <w:rFonts w:ascii="Times New Roman" w:eastAsia="宋体" w:hAnsi="Times New Roman" w:cs="Times New Roman"/>
                <w:szCs w:val="21"/>
              </w:rPr>
            </w:pPr>
            <w:r>
              <w:rPr>
                <w:rFonts w:ascii="Times New Roman" w:hAnsi="Times New Roman" w:cs="Times New Roman"/>
                <w:szCs w:val="21"/>
              </w:rPr>
              <w:t>渠俊峰</w:t>
            </w:r>
          </w:p>
        </w:tc>
      </w:tr>
    </w:tbl>
    <w:p w14:paraId="10D76279" w14:textId="77777777" w:rsidR="003D69D6" w:rsidRDefault="003C5688">
      <w:pPr>
        <w:widowControl/>
        <w:spacing w:beforeLines="50" w:before="156" w:afterLines="50" w:after="156" w:line="480" w:lineRule="auto"/>
        <w:jc w:val="left"/>
        <w:rPr>
          <w:rFonts w:ascii="Times New Roman" w:eastAsia="宋体" w:hAnsi="Times New Roman" w:cs="Times New Roman"/>
          <w:b/>
          <w:color w:val="333333"/>
          <w:kern w:val="0"/>
          <w:sz w:val="28"/>
          <w:szCs w:val="24"/>
          <w:shd w:val="clear" w:color="auto" w:fill="FFFFFF"/>
        </w:rPr>
      </w:pPr>
      <w:r>
        <w:rPr>
          <w:rFonts w:ascii="Times New Roman" w:eastAsia="宋体" w:hAnsi="Times New Roman" w:cs="Times New Roman" w:hint="eastAsia"/>
          <w:b/>
          <w:color w:val="333333"/>
          <w:kern w:val="0"/>
          <w:sz w:val="28"/>
          <w:szCs w:val="24"/>
          <w:shd w:val="clear" w:color="auto" w:fill="FFFFFF"/>
        </w:rPr>
        <w:lastRenderedPageBreak/>
        <w:t>六、主要知识产权目录</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1276"/>
        <w:gridCol w:w="992"/>
        <w:gridCol w:w="2410"/>
        <w:gridCol w:w="1134"/>
      </w:tblGrid>
      <w:tr w:rsidR="003D69D6" w14:paraId="7F7AEDE1" w14:textId="77777777">
        <w:trPr>
          <w:trHeight w:val="907"/>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31E97A73" w14:textId="77777777" w:rsidR="003D69D6" w:rsidRDefault="003C5688">
            <w:pPr>
              <w:widowControl/>
              <w:jc w:val="center"/>
              <w:rPr>
                <w:rFonts w:ascii="Times New Roman" w:eastAsia="宋体" w:hAnsi="Times New Roman" w:cs="宋体"/>
                <w:kern w:val="0"/>
                <w:sz w:val="24"/>
                <w:szCs w:val="24"/>
              </w:rPr>
            </w:pPr>
            <w:r>
              <w:rPr>
                <w:rFonts w:ascii="Times New Roman" w:eastAsia="宋体" w:hAnsi="Times New Roman" w:cs="Times New Roman" w:hint="eastAsia"/>
                <w:szCs w:val="21"/>
              </w:rPr>
              <w:t>知识产权（标准、规范）名称</w:t>
            </w:r>
          </w:p>
        </w:tc>
        <w:tc>
          <w:tcPr>
            <w:tcW w:w="1276" w:type="dxa"/>
            <w:tcBorders>
              <w:top w:val="single" w:sz="4" w:space="0" w:color="auto"/>
              <w:left w:val="nil"/>
              <w:bottom w:val="single" w:sz="4" w:space="0" w:color="auto"/>
              <w:right w:val="single" w:sz="4" w:space="0" w:color="auto"/>
            </w:tcBorders>
            <w:shd w:val="clear" w:color="auto" w:fill="auto"/>
            <w:vAlign w:val="center"/>
          </w:tcPr>
          <w:p w14:paraId="650B53FC" w14:textId="77777777" w:rsidR="003D69D6" w:rsidRDefault="003C5688">
            <w:pPr>
              <w:widowControl/>
              <w:jc w:val="center"/>
              <w:rPr>
                <w:rFonts w:ascii="Times New Roman" w:eastAsia="宋体" w:hAnsi="Times New Roman" w:cs="宋体"/>
                <w:kern w:val="0"/>
                <w:sz w:val="24"/>
                <w:szCs w:val="24"/>
              </w:rPr>
            </w:pPr>
            <w:r>
              <w:rPr>
                <w:rFonts w:ascii="Times New Roman" w:eastAsia="宋体" w:hAnsi="Times New Roman" w:cs="Times New Roman" w:hint="eastAsia"/>
                <w:szCs w:val="21"/>
              </w:rPr>
              <w:t>知识产权（标准、规范）类别</w:t>
            </w:r>
          </w:p>
        </w:tc>
        <w:tc>
          <w:tcPr>
            <w:tcW w:w="992" w:type="dxa"/>
            <w:tcBorders>
              <w:top w:val="single" w:sz="4" w:space="0" w:color="auto"/>
              <w:left w:val="nil"/>
              <w:bottom w:val="single" w:sz="4" w:space="0" w:color="auto"/>
              <w:right w:val="single" w:sz="4" w:space="0" w:color="auto"/>
            </w:tcBorders>
            <w:shd w:val="clear" w:color="auto" w:fill="auto"/>
            <w:vAlign w:val="center"/>
          </w:tcPr>
          <w:p w14:paraId="7EA1CBF3" w14:textId="77777777" w:rsidR="003D69D6" w:rsidRDefault="003C5688">
            <w:pPr>
              <w:widowControl/>
              <w:jc w:val="center"/>
              <w:rPr>
                <w:rFonts w:ascii="Times New Roman" w:eastAsia="宋体" w:hAnsi="Times New Roman" w:cs="宋体"/>
                <w:kern w:val="0"/>
                <w:sz w:val="24"/>
                <w:szCs w:val="24"/>
              </w:rPr>
            </w:pPr>
            <w:r>
              <w:rPr>
                <w:rFonts w:ascii="Times New Roman" w:eastAsia="宋体" w:hAnsi="Times New Roman" w:cs="Times New Roman" w:hint="eastAsia"/>
                <w:szCs w:val="21"/>
              </w:rPr>
              <w:t>国（区）别</w:t>
            </w:r>
          </w:p>
        </w:tc>
        <w:tc>
          <w:tcPr>
            <w:tcW w:w="2410" w:type="dxa"/>
            <w:tcBorders>
              <w:top w:val="single" w:sz="4" w:space="0" w:color="auto"/>
              <w:left w:val="nil"/>
              <w:bottom w:val="single" w:sz="4" w:space="0" w:color="auto"/>
              <w:right w:val="single" w:sz="4" w:space="0" w:color="auto"/>
            </w:tcBorders>
            <w:shd w:val="clear" w:color="auto" w:fill="auto"/>
            <w:vAlign w:val="center"/>
          </w:tcPr>
          <w:p w14:paraId="201A2E94" w14:textId="77777777" w:rsidR="003D69D6" w:rsidRDefault="003C5688">
            <w:pPr>
              <w:widowControl/>
              <w:jc w:val="center"/>
              <w:rPr>
                <w:rFonts w:ascii="Times New Roman" w:eastAsia="宋体" w:hAnsi="Times New Roman" w:cs="宋体"/>
                <w:kern w:val="0"/>
                <w:sz w:val="24"/>
                <w:szCs w:val="24"/>
              </w:rPr>
            </w:pPr>
            <w:r>
              <w:rPr>
                <w:rFonts w:ascii="Times New Roman" w:eastAsia="宋体" w:hAnsi="Times New Roman" w:cs="Times New Roman" w:hint="eastAsia"/>
                <w:szCs w:val="21"/>
              </w:rPr>
              <w:t>授权号（标准编号）</w:t>
            </w:r>
          </w:p>
        </w:tc>
        <w:tc>
          <w:tcPr>
            <w:tcW w:w="1134" w:type="dxa"/>
            <w:tcBorders>
              <w:top w:val="single" w:sz="4" w:space="0" w:color="auto"/>
              <w:left w:val="nil"/>
              <w:bottom w:val="single" w:sz="4" w:space="0" w:color="auto"/>
              <w:right w:val="single" w:sz="4" w:space="0" w:color="auto"/>
            </w:tcBorders>
            <w:shd w:val="clear" w:color="auto" w:fill="auto"/>
            <w:vAlign w:val="center"/>
          </w:tcPr>
          <w:p w14:paraId="27799CA3" w14:textId="77777777" w:rsidR="003D69D6" w:rsidRDefault="003C5688">
            <w:pPr>
              <w:widowControl/>
              <w:jc w:val="center"/>
              <w:rPr>
                <w:rFonts w:ascii="Times New Roman" w:eastAsia="宋体" w:hAnsi="Times New Roman" w:cs="宋体"/>
                <w:kern w:val="0"/>
                <w:sz w:val="24"/>
                <w:szCs w:val="24"/>
              </w:rPr>
            </w:pPr>
            <w:r>
              <w:rPr>
                <w:rFonts w:ascii="Times New Roman" w:eastAsia="宋体" w:hAnsi="Times New Roman" w:cs="Times New Roman" w:hint="eastAsia"/>
                <w:szCs w:val="21"/>
              </w:rPr>
              <w:t>获得时间</w:t>
            </w:r>
          </w:p>
        </w:tc>
      </w:tr>
      <w:tr w:rsidR="003D69D6" w14:paraId="4CA21132" w14:textId="77777777">
        <w:trPr>
          <w:trHeight w:val="680"/>
        </w:trPr>
        <w:tc>
          <w:tcPr>
            <w:tcW w:w="2410" w:type="dxa"/>
            <w:vAlign w:val="center"/>
          </w:tcPr>
          <w:p w14:paraId="2A04DAA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一种矿区生态累积效应的评价方法</w:t>
            </w:r>
          </w:p>
        </w:tc>
        <w:tc>
          <w:tcPr>
            <w:tcW w:w="1276" w:type="dxa"/>
            <w:vAlign w:val="center"/>
          </w:tcPr>
          <w:p w14:paraId="17462E7D" w14:textId="77777777" w:rsidR="003D69D6" w:rsidRDefault="003C5688">
            <w:pPr>
              <w:widowControl/>
              <w:jc w:val="center"/>
              <w:rPr>
                <w:rFonts w:ascii="Times New Roman" w:eastAsia="宋体" w:hAnsi="Times New Roman" w:cs="Times New Roman"/>
                <w:szCs w:val="21"/>
              </w:rPr>
            </w:pPr>
            <w:bookmarkStart w:id="13" w:name="ZSCQLX"/>
            <w:bookmarkEnd w:id="13"/>
            <w:r>
              <w:rPr>
                <w:rFonts w:ascii="Times New Roman" w:hAnsi="Times New Roman" w:cs="Times New Roman"/>
                <w:szCs w:val="21"/>
              </w:rPr>
              <w:t>发明专利</w:t>
            </w:r>
          </w:p>
        </w:tc>
        <w:tc>
          <w:tcPr>
            <w:tcW w:w="992" w:type="dxa"/>
            <w:vAlign w:val="center"/>
          </w:tcPr>
          <w:p w14:paraId="7A722CC0" w14:textId="77777777" w:rsidR="003D69D6" w:rsidRDefault="003C5688">
            <w:pPr>
              <w:widowControl/>
              <w:jc w:val="center"/>
              <w:rPr>
                <w:rFonts w:ascii="Times New Roman" w:eastAsia="宋体" w:hAnsi="Times New Roman" w:cs="Times New Roman"/>
                <w:szCs w:val="21"/>
              </w:rPr>
            </w:pPr>
            <w:bookmarkStart w:id="14" w:name="GQB"/>
            <w:bookmarkEnd w:id="14"/>
            <w:r>
              <w:rPr>
                <w:rFonts w:ascii="Times New Roman" w:hAnsi="Times New Roman" w:cs="Times New Roman"/>
                <w:sz w:val="24"/>
              </w:rPr>
              <w:t>中国</w:t>
            </w:r>
          </w:p>
        </w:tc>
        <w:tc>
          <w:tcPr>
            <w:tcW w:w="2410" w:type="dxa"/>
            <w:vAlign w:val="center"/>
          </w:tcPr>
          <w:p w14:paraId="092BBC90" w14:textId="77777777" w:rsidR="003D69D6" w:rsidRDefault="003C5688">
            <w:pPr>
              <w:widowControl/>
              <w:jc w:val="center"/>
              <w:rPr>
                <w:rFonts w:ascii="Times New Roman" w:eastAsia="宋体" w:hAnsi="Times New Roman" w:cs="Times New Roman"/>
                <w:szCs w:val="21"/>
              </w:rPr>
            </w:pPr>
            <w:bookmarkStart w:id="15" w:name="SQH"/>
            <w:bookmarkEnd w:id="15"/>
            <w:r>
              <w:rPr>
                <w:rFonts w:ascii="Times New Roman" w:hAnsi="Times New Roman" w:cs="Times New Roman"/>
                <w:sz w:val="24"/>
              </w:rPr>
              <w:t>ZL202110546188.X</w:t>
            </w:r>
          </w:p>
        </w:tc>
        <w:tc>
          <w:tcPr>
            <w:tcW w:w="1134" w:type="dxa"/>
            <w:vAlign w:val="center"/>
          </w:tcPr>
          <w:p w14:paraId="6DED88B2"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2023-09-29</w:t>
            </w:r>
          </w:p>
        </w:tc>
      </w:tr>
      <w:tr w:rsidR="003D69D6" w14:paraId="5E674D39" w14:textId="77777777">
        <w:trPr>
          <w:trHeight w:val="764"/>
        </w:trPr>
        <w:tc>
          <w:tcPr>
            <w:tcW w:w="2410" w:type="dxa"/>
            <w:vAlign w:val="center"/>
          </w:tcPr>
          <w:p w14:paraId="007A80D0"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一种基于半监督地理空间回归分析的高光谱影像土壤重金属浓度评估方法</w:t>
            </w:r>
          </w:p>
        </w:tc>
        <w:tc>
          <w:tcPr>
            <w:tcW w:w="1276" w:type="dxa"/>
            <w:vAlign w:val="center"/>
          </w:tcPr>
          <w:p w14:paraId="76AC5046"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4B908DC8"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039C1CE2"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 2019 1 0624568.3</w:t>
            </w:r>
          </w:p>
        </w:tc>
        <w:tc>
          <w:tcPr>
            <w:tcW w:w="1134" w:type="dxa"/>
            <w:vAlign w:val="center"/>
          </w:tcPr>
          <w:p w14:paraId="170CBAC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2022-11-11</w:t>
            </w:r>
          </w:p>
        </w:tc>
      </w:tr>
      <w:tr w:rsidR="003D69D6" w14:paraId="2DC81C0C" w14:textId="77777777">
        <w:trPr>
          <w:trHeight w:val="680"/>
        </w:trPr>
        <w:tc>
          <w:tcPr>
            <w:tcW w:w="2410" w:type="dxa"/>
            <w:vAlign w:val="center"/>
          </w:tcPr>
          <w:p w14:paraId="3C0A5C1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一种基于空间权重约束和变分自编码特征提取的高光谱影像土壤重金属浓度评估方法</w:t>
            </w:r>
          </w:p>
        </w:tc>
        <w:tc>
          <w:tcPr>
            <w:tcW w:w="1276" w:type="dxa"/>
            <w:vAlign w:val="center"/>
          </w:tcPr>
          <w:p w14:paraId="747CF7FC"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79427FD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07307BA3"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 2019 1 0861877.2</w:t>
            </w:r>
          </w:p>
        </w:tc>
        <w:tc>
          <w:tcPr>
            <w:tcW w:w="1134" w:type="dxa"/>
            <w:vAlign w:val="center"/>
          </w:tcPr>
          <w:p w14:paraId="6A03C5CC"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2022-03-08</w:t>
            </w:r>
          </w:p>
        </w:tc>
      </w:tr>
      <w:tr w:rsidR="003D69D6" w14:paraId="36C2AC14" w14:textId="77777777">
        <w:trPr>
          <w:trHeight w:val="680"/>
        </w:trPr>
        <w:tc>
          <w:tcPr>
            <w:tcW w:w="2410" w:type="dxa"/>
            <w:vAlign w:val="center"/>
          </w:tcPr>
          <w:p w14:paraId="70E8B247"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一种基于高斯过程回归的航空高光谱影像土壤重金属浓度评估方法</w:t>
            </w:r>
          </w:p>
        </w:tc>
        <w:tc>
          <w:tcPr>
            <w:tcW w:w="1276" w:type="dxa"/>
            <w:vAlign w:val="center"/>
          </w:tcPr>
          <w:p w14:paraId="2A0C374B"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31B2087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15FCB838"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 2019 1 0446350.3</w:t>
            </w:r>
          </w:p>
        </w:tc>
        <w:tc>
          <w:tcPr>
            <w:tcW w:w="1134" w:type="dxa"/>
            <w:vAlign w:val="center"/>
          </w:tcPr>
          <w:p w14:paraId="1B340C25"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2021-12-14</w:t>
            </w:r>
          </w:p>
        </w:tc>
      </w:tr>
      <w:tr w:rsidR="003D69D6" w14:paraId="7C59FC90" w14:textId="77777777">
        <w:trPr>
          <w:trHeight w:val="680"/>
        </w:trPr>
        <w:tc>
          <w:tcPr>
            <w:tcW w:w="2410" w:type="dxa"/>
            <w:vAlign w:val="center"/>
          </w:tcPr>
          <w:p w14:paraId="65503D6D"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融合无人机</w:t>
            </w:r>
            <w:r>
              <w:rPr>
                <w:rFonts w:ascii="Times New Roman" w:hAnsi="Times New Roman" w:cs="Times New Roman"/>
                <w:sz w:val="24"/>
              </w:rPr>
              <w:t>DOM</w:t>
            </w:r>
            <w:r>
              <w:rPr>
                <w:rFonts w:ascii="Times New Roman" w:hAnsi="Times New Roman" w:cs="Times New Roman"/>
                <w:sz w:val="24"/>
              </w:rPr>
              <w:t>和星载</w:t>
            </w:r>
            <w:r>
              <w:rPr>
                <w:rFonts w:ascii="Times New Roman" w:hAnsi="Times New Roman" w:cs="Times New Roman"/>
                <w:sz w:val="24"/>
              </w:rPr>
              <w:t>SAR</w:t>
            </w:r>
            <w:r>
              <w:rPr>
                <w:rFonts w:ascii="Times New Roman" w:hAnsi="Times New Roman" w:cs="Times New Roman"/>
                <w:sz w:val="24"/>
              </w:rPr>
              <w:t>影像的地表三维形变提取方法</w:t>
            </w:r>
          </w:p>
        </w:tc>
        <w:tc>
          <w:tcPr>
            <w:tcW w:w="1276" w:type="dxa"/>
            <w:vAlign w:val="center"/>
          </w:tcPr>
          <w:p w14:paraId="52516759"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17F698A0"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6A49FD0D"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ZL202110367713.1</w:t>
            </w:r>
          </w:p>
        </w:tc>
        <w:tc>
          <w:tcPr>
            <w:tcW w:w="1134" w:type="dxa"/>
            <w:vAlign w:val="center"/>
          </w:tcPr>
          <w:p w14:paraId="337DCE24"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2021-12-03</w:t>
            </w:r>
          </w:p>
        </w:tc>
      </w:tr>
      <w:tr w:rsidR="003D69D6" w14:paraId="68FDE85E" w14:textId="77777777">
        <w:trPr>
          <w:trHeight w:val="680"/>
        </w:trPr>
        <w:tc>
          <w:tcPr>
            <w:tcW w:w="2410" w:type="dxa"/>
            <w:vAlign w:val="center"/>
          </w:tcPr>
          <w:p w14:paraId="233B1713"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一种关闭井工矿地表沉陷预测方法</w:t>
            </w:r>
          </w:p>
        </w:tc>
        <w:tc>
          <w:tcPr>
            <w:tcW w:w="1276" w:type="dxa"/>
            <w:vAlign w:val="center"/>
          </w:tcPr>
          <w:p w14:paraId="2CF109F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36194A2A"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033EEE86"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ZL201911225816.3</w:t>
            </w:r>
          </w:p>
        </w:tc>
        <w:tc>
          <w:tcPr>
            <w:tcW w:w="1134" w:type="dxa"/>
            <w:vAlign w:val="center"/>
          </w:tcPr>
          <w:p w14:paraId="2051462D"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2021-08-27</w:t>
            </w:r>
          </w:p>
        </w:tc>
      </w:tr>
      <w:tr w:rsidR="003D69D6" w14:paraId="35D72C09" w14:textId="77777777">
        <w:trPr>
          <w:trHeight w:val="680"/>
        </w:trPr>
        <w:tc>
          <w:tcPr>
            <w:tcW w:w="2410" w:type="dxa"/>
            <w:vAlign w:val="center"/>
          </w:tcPr>
          <w:p w14:paraId="6FC83B95"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城市及周边高潜水位采煤沉陷区景观水体调控及生态净化方法</w:t>
            </w:r>
          </w:p>
        </w:tc>
        <w:tc>
          <w:tcPr>
            <w:tcW w:w="1276" w:type="dxa"/>
            <w:vAlign w:val="center"/>
          </w:tcPr>
          <w:p w14:paraId="6FA2B05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4F55266B"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10AFC518"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 2018 1 1298630.6</w:t>
            </w:r>
          </w:p>
        </w:tc>
        <w:tc>
          <w:tcPr>
            <w:tcW w:w="1134" w:type="dxa"/>
            <w:vAlign w:val="center"/>
          </w:tcPr>
          <w:p w14:paraId="4228E49D"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2021-07-27</w:t>
            </w:r>
          </w:p>
        </w:tc>
      </w:tr>
      <w:tr w:rsidR="003D69D6" w14:paraId="622973AD" w14:textId="77777777">
        <w:trPr>
          <w:trHeight w:val="846"/>
        </w:trPr>
        <w:tc>
          <w:tcPr>
            <w:tcW w:w="2410" w:type="dxa"/>
            <w:vAlign w:val="center"/>
          </w:tcPr>
          <w:p w14:paraId="1AC1164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基于</w:t>
            </w:r>
            <w:r>
              <w:rPr>
                <w:rFonts w:ascii="Times New Roman" w:hAnsi="Times New Roman" w:cs="Times New Roman"/>
                <w:sz w:val="24"/>
              </w:rPr>
              <w:t>Rao</w:t>
            </w:r>
            <w:r>
              <w:rPr>
                <w:rFonts w:ascii="Times New Roman" w:hAnsi="Times New Roman" w:cs="Times New Roman"/>
                <w:sz w:val="24"/>
              </w:rPr>
              <w:t>检验的</w:t>
            </w:r>
            <w:r>
              <w:rPr>
                <w:rFonts w:ascii="Times New Roman" w:hAnsi="Times New Roman" w:cs="Times New Roman"/>
                <w:sz w:val="24"/>
              </w:rPr>
              <w:t>SAR</w:t>
            </w:r>
            <w:r>
              <w:rPr>
                <w:rFonts w:ascii="Times New Roman" w:hAnsi="Times New Roman" w:cs="Times New Roman"/>
                <w:sz w:val="24"/>
              </w:rPr>
              <w:t>影像变化检测方法</w:t>
            </w:r>
          </w:p>
        </w:tc>
        <w:tc>
          <w:tcPr>
            <w:tcW w:w="1276" w:type="dxa"/>
            <w:vAlign w:val="center"/>
          </w:tcPr>
          <w:p w14:paraId="7C81A1A6"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14234C0D"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2929542F"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ZL201910421617.3</w:t>
            </w:r>
          </w:p>
        </w:tc>
        <w:tc>
          <w:tcPr>
            <w:tcW w:w="1134" w:type="dxa"/>
            <w:vAlign w:val="center"/>
          </w:tcPr>
          <w:p w14:paraId="318F512A"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2021-03-02</w:t>
            </w:r>
          </w:p>
        </w:tc>
      </w:tr>
      <w:tr w:rsidR="003D69D6" w14:paraId="2BF72E2F" w14:textId="77777777">
        <w:trPr>
          <w:trHeight w:val="844"/>
        </w:trPr>
        <w:tc>
          <w:tcPr>
            <w:tcW w:w="2410" w:type="dxa"/>
            <w:vAlign w:val="center"/>
          </w:tcPr>
          <w:p w14:paraId="6B478F42"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融合像元偏移跟踪和短基线集的矿区地表形变解算方法</w:t>
            </w:r>
          </w:p>
        </w:tc>
        <w:tc>
          <w:tcPr>
            <w:tcW w:w="1276" w:type="dxa"/>
            <w:vAlign w:val="center"/>
          </w:tcPr>
          <w:p w14:paraId="334FC7E5"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Cs w:val="21"/>
              </w:rPr>
              <w:t>发明专利</w:t>
            </w:r>
          </w:p>
        </w:tc>
        <w:tc>
          <w:tcPr>
            <w:tcW w:w="992" w:type="dxa"/>
            <w:vAlign w:val="center"/>
          </w:tcPr>
          <w:p w14:paraId="16B46BD8"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中国</w:t>
            </w:r>
          </w:p>
        </w:tc>
        <w:tc>
          <w:tcPr>
            <w:tcW w:w="2410" w:type="dxa"/>
            <w:vAlign w:val="center"/>
          </w:tcPr>
          <w:p w14:paraId="2299F42B"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ZL201610362009.6</w:t>
            </w:r>
          </w:p>
        </w:tc>
        <w:tc>
          <w:tcPr>
            <w:tcW w:w="1134" w:type="dxa"/>
            <w:vAlign w:val="center"/>
          </w:tcPr>
          <w:p w14:paraId="0738E007" w14:textId="77777777" w:rsidR="003D69D6" w:rsidRDefault="003C5688">
            <w:pPr>
              <w:widowControl/>
              <w:jc w:val="center"/>
              <w:rPr>
                <w:rFonts w:ascii="Times New Roman" w:eastAsia="宋体" w:hAnsi="Times New Roman" w:cs="Times New Roman"/>
                <w:szCs w:val="21"/>
              </w:rPr>
            </w:pPr>
            <w:r>
              <w:rPr>
                <w:rFonts w:ascii="Times New Roman" w:hAnsi="Times New Roman" w:cs="Times New Roman"/>
                <w:sz w:val="24"/>
              </w:rPr>
              <w:t>2018-10-30</w:t>
            </w:r>
          </w:p>
        </w:tc>
      </w:tr>
      <w:tr w:rsidR="003D69D6" w14:paraId="4B8B81F3" w14:textId="77777777">
        <w:trPr>
          <w:trHeight w:val="842"/>
        </w:trPr>
        <w:tc>
          <w:tcPr>
            <w:tcW w:w="2410" w:type="dxa"/>
            <w:vAlign w:val="center"/>
          </w:tcPr>
          <w:p w14:paraId="0CF9BB91" w14:textId="77777777" w:rsidR="003D69D6" w:rsidRDefault="003C5688">
            <w:pPr>
              <w:widowControl/>
              <w:jc w:val="center"/>
              <w:rPr>
                <w:rFonts w:ascii="Times New Roman" w:hAnsi="Times New Roman" w:cs="Times New Roman"/>
                <w:sz w:val="24"/>
              </w:rPr>
            </w:pPr>
            <w:r>
              <w:rPr>
                <w:rFonts w:hint="eastAsia"/>
                <w:sz w:val="24"/>
              </w:rPr>
              <w:t>矿区环境污染与生态破坏协同治理成效评估规范</w:t>
            </w:r>
          </w:p>
        </w:tc>
        <w:tc>
          <w:tcPr>
            <w:tcW w:w="1276" w:type="dxa"/>
            <w:vAlign w:val="center"/>
          </w:tcPr>
          <w:p w14:paraId="639D54E8" w14:textId="77777777" w:rsidR="003D69D6" w:rsidRDefault="003C5688">
            <w:pPr>
              <w:widowControl/>
              <w:jc w:val="center"/>
              <w:rPr>
                <w:rFonts w:ascii="Times New Roman" w:hAnsi="Times New Roman" w:cs="Times New Roman"/>
                <w:szCs w:val="21"/>
              </w:rPr>
            </w:pPr>
            <w:r>
              <w:rPr>
                <w:rFonts w:hint="eastAsia"/>
                <w:sz w:val="24"/>
              </w:rPr>
              <w:t>标准</w:t>
            </w:r>
          </w:p>
        </w:tc>
        <w:tc>
          <w:tcPr>
            <w:tcW w:w="992" w:type="dxa"/>
            <w:vAlign w:val="center"/>
          </w:tcPr>
          <w:p w14:paraId="25CF4111" w14:textId="77777777" w:rsidR="003D69D6" w:rsidRDefault="003C5688">
            <w:pPr>
              <w:widowControl/>
              <w:jc w:val="center"/>
              <w:rPr>
                <w:rFonts w:ascii="Times New Roman" w:hAnsi="Times New Roman" w:cs="Times New Roman"/>
                <w:sz w:val="24"/>
              </w:rPr>
            </w:pPr>
            <w:r>
              <w:rPr>
                <w:rFonts w:hint="eastAsia"/>
                <w:sz w:val="24"/>
              </w:rPr>
              <w:t>中国</w:t>
            </w:r>
          </w:p>
        </w:tc>
        <w:tc>
          <w:tcPr>
            <w:tcW w:w="2410" w:type="dxa"/>
            <w:vAlign w:val="center"/>
          </w:tcPr>
          <w:p w14:paraId="1AFFFB86" w14:textId="77777777" w:rsidR="003D69D6" w:rsidRDefault="003C5688">
            <w:pPr>
              <w:widowControl/>
              <w:jc w:val="center"/>
              <w:rPr>
                <w:rFonts w:ascii="Times New Roman" w:hAnsi="Times New Roman" w:cs="Times New Roman"/>
                <w:sz w:val="24"/>
              </w:rPr>
            </w:pPr>
            <w:r>
              <w:rPr>
                <w:rFonts w:ascii="Times New Roman" w:hAnsi="Times New Roman" w:cs="Times New Roman"/>
                <w:sz w:val="24"/>
              </w:rPr>
              <w:t>T/JSSES 38-2024</w:t>
            </w:r>
          </w:p>
        </w:tc>
        <w:tc>
          <w:tcPr>
            <w:tcW w:w="1134" w:type="dxa"/>
            <w:vAlign w:val="center"/>
          </w:tcPr>
          <w:p w14:paraId="69610F0E" w14:textId="77777777" w:rsidR="003D69D6" w:rsidRDefault="003C5688">
            <w:pPr>
              <w:widowControl/>
              <w:jc w:val="center"/>
              <w:rPr>
                <w:rFonts w:ascii="Times New Roman" w:hAnsi="Times New Roman" w:cs="Times New Roman"/>
                <w:sz w:val="24"/>
              </w:rPr>
            </w:pPr>
            <w:r>
              <w:rPr>
                <w:rFonts w:ascii="Times New Roman" w:hAnsi="Times New Roman" w:cs="Times New Roman"/>
                <w:sz w:val="24"/>
              </w:rPr>
              <w:t>2024-02-08</w:t>
            </w:r>
          </w:p>
        </w:tc>
      </w:tr>
    </w:tbl>
    <w:p w14:paraId="44B3790C" w14:textId="77777777" w:rsidR="003D69D6" w:rsidRDefault="003D69D6">
      <w:pPr>
        <w:widowControl/>
        <w:spacing w:line="14" w:lineRule="exact"/>
        <w:rPr>
          <w:rFonts w:ascii="Times New Roman" w:eastAsia="宋体" w:hAnsi="Times New Roman" w:cs="Times New Roman"/>
          <w:color w:val="333333"/>
          <w:kern w:val="0"/>
          <w:sz w:val="24"/>
          <w:szCs w:val="24"/>
          <w:shd w:val="clear" w:color="auto" w:fill="FFFFFF"/>
        </w:rPr>
      </w:pPr>
    </w:p>
    <w:sectPr w:rsidR="003D69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18C2DC" w14:textId="77777777" w:rsidR="003C5688" w:rsidRDefault="003C5688" w:rsidP="00622E33">
      <w:r>
        <w:separator/>
      </w:r>
    </w:p>
  </w:endnote>
  <w:endnote w:type="continuationSeparator" w:id="0">
    <w:p w14:paraId="5C23FBB1" w14:textId="77777777" w:rsidR="003C5688" w:rsidRDefault="003C5688" w:rsidP="00622E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BD6B1" w14:textId="77777777" w:rsidR="003C5688" w:rsidRDefault="003C5688" w:rsidP="00622E33">
      <w:r>
        <w:separator/>
      </w:r>
    </w:p>
  </w:footnote>
  <w:footnote w:type="continuationSeparator" w:id="0">
    <w:p w14:paraId="08FE1380" w14:textId="77777777" w:rsidR="003C5688" w:rsidRDefault="003C5688" w:rsidP="00622E3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6270B"/>
    <w:rsid w:val="000710B2"/>
    <w:rsid w:val="000754BE"/>
    <w:rsid w:val="000A4D0C"/>
    <w:rsid w:val="000C462F"/>
    <w:rsid w:val="000C5387"/>
    <w:rsid w:val="000D5B6B"/>
    <w:rsid w:val="000D5DE9"/>
    <w:rsid w:val="000F3E2A"/>
    <w:rsid w:val="00107AC3"/>
    <w:rsid w:val="00111DD2"/>
    <w:rsid w:val="001358B0"/>
    <w:rsid w:val="001519C9"/>
    <w:rsid w:val="00152F55"/>
    <w:rsid w:val="00176C51"/>
    <w:rsid w:val="00193848"/>
    <w:rsid w:val="002175AA"/>
    <w:rsid w:val="00226645"/>
    <w:rsid w:val="00233CE0"/>
    <w:rsid w:val="00266DA4"/>
    <w:rsid w:val="002A54CC"/>
    <w:rsid w:val="002B6E82"/>
    <w:rsid w:val="002B7A50"/>
    <w:rsid w:val="002C3EC9"/>
    <w:rsid w:val="002E0E84"/>
    <w:rsid w:val="002F4BA7"/>
    <w:rsid w:val="00327471"/>
    <w:rsid w:val="00335C4F"/>
    <w:rsid w:val="00380430"/>
    <w:rsid w:val="003A107D"/>
    <w:rsid w:val="003B176E"/>
    <w:rsid w:val="003B5D28"/>
    <w:rsid w:val="003C5688"/>
    <w:rsid w:val="003D5A8F"/>
    <w:rsid w:val="003D69D6"/>
    <w:rsid w:val="003E5C3D"/>
    <w:rsid w:val="004103B7"/>
    <w:rsid w:val="004C15E2"/>
    <w:rsid w:val="004D1796"/>
    <w:rsid w:val="00524B48"/>
    <w:rsid w:val="00537E7D"/>
    <w:rsid w:val="00551B08"/>
    <w:rsid w:val="00562A6D"/>
    <w:rsid w:val="005635E2"/>
    <w:rsid w:val="00572643"/>
    <w:rsid w:val="00594465"/>
    <w:rsid w:val="005B29FE"/>
    <w:rsid w:val="005D0D9A"/>
    <w:rsid w:val="006126C9"/>
    <w:rsid w:val="00622E33"/>
    <w:rsid w:val="0064266A"/>
    <w:rsid w:val="0068343E"/>
    <w:rsid w:val="00694F72"/>
    <w:rsid w:val="006B29A2"/>
    <w:rsid w:val="006C04FF"/>
    <w:rsid w:val="00727597"/>
    <w:rsid w:val="00747379"/>
    <w:rsid w:val="00783902"/>
    <w:rsid w:val="007869E6"/>
    <w:rsid w:val="007A741E"/>
    <w:rsid w:val="007E1A1F"/>
    <w:rsid w:val="008054B5"/>
    <w:rsid w:val="00821D02"/>
    <w:rsid w:val="008325AE"/>
    <w:rsid w:val="00892517"/>
    <w:rsid w:val="008B0694"/>
    <w:rsid w:val="008E05D7"/>
    <w:rsid w:val="008E68D5"/>
    <w:rsid w:val="009030B1"/>
    <w:rsid w:val="0094335D"/>
    <w:rsid w:val="00977783"/>
    <w:rsid w:val="009871BF"/>
    <w:rsid w:val="009D2C39"/>
    <w:rsid w:val="009F48CC"/>
    <w:rsid w:val="009F7098"/>
    <w:rsid w:val="00A202F9"/>
    <w:rsid w:val="00A363F6"/>
    <w:rsid w:val="00A47DE6"/>
    <w:rsid w:val="00A70576"/>
    <w:rsid w:val="00A77F20"/>
    <w:rsid w:val="00A80CB5"/>
    <w:rsid w:val="00AA0047"/>
    <w:rsid w:val="00AA0DA5"/>
    <w:rsid w:val="00AF7470"/>
    <w:rsid w:val="00B27A2E"/>
    <w:rsid w:val="00B46F50"/>
    <w:rsid w:val="00B6645C"/>
    <w:rsid w:val="00B83DA4"/>
    <w:rsid w:val="00B8459E"/>
    <w:rsid w:val="00B936B9"/>
    <w:rsid w:val="00BB3AF0"/>
    <w:rsid w:val="00BC6223"/>
    <w:rsid w:val="00BD0416"/>
    <w:rsid w:val="00BD148F"/>
    <w:rsid w:val="00BD7A4A"/>
    <w:rsid w:val="00BF45FE"/>
    <w:rsid w:val="00C0459D"/>
    <w:rsid w:val="00C35FA5"/>
    <w:rsid w:val="00C64A4C"/>
    <w:rsid w:val="00C70CF2"/>
    <w:rsid w:val="00C7655D"/>
    <w:rsid w:val="00CC62A7"/>
    <w:rsid w:val="00CD22C4"/>
    <w:rsid w:val="00CE79C2"/>
    <w:rsid w:val="00CF0ACF"/>
    <w:rsid w:val="00CF3269"/>
    <w:rsid w:val="00D331F2"/>
    <w:rsid w:val="00D36E63"/>
    <w:rsid w:val="00D67B4F"/>
    <w:rsid w:val="00D800DC"/>
    <w:rsid w:val="00D935CA"/>
    <w:rsid w:val="00D93897"/>
    <w:rsid w:val="00DE437B"/>
    <w:rsid w:val="00DF0889"/>
    <w:rsid w:val="00DF5600"/>
    <w:rsid w:val="00E6270B"/>
    <w:rsid w:val="00E91A80"/>
    <w:rsid w:val="00EA53CA"/>
    <w:rsid w:val="00EC15AB"/>
    <w:rsid w:val="00EF12C6"/>
    <w:rsid w:val="00F0685C"/>
    <w:rsid w:val="00F22555"/>
    <w:rsid w:val="00F23A57"/>
    <w:rsid w:val="00F27C5D"/>
    <w:rsid w:val="00F424F0"/>
    <w:rsid w:val="00F42931"/>
    <w:rsid w:val="00F6166C"/>
    <w:rsid w:val="00F658B3"/>
    <w:rsid w:val="00F9266B"/>
    <w:rsid w:val="00F97CEA"/>
    <w:rsid w:val="00FF526D"/>
    <w:rsid w:val="00FF6ACA"/>
    <w:rsid w:val="77595B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D61B82D-D7DF-4C7D-8953-0F7965DF3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885</Words>
  <Characters>5046</Characters>
  <Application>Microsoft Office Word</Application>
  <DocSecurity>0</DocSecurity>
  <Lines>42</Lines>
  <Paragraphs>11</Paragraphs>
  <ScaleCrop>false</ScaleCrop>
  <Company>china</Company>
  <LinksUpToDate>false</LinksUpToDate>
  <CharactersWithSpaces>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WuZH</cp:lastModifiedBy>
  <cp:revision>70</cp:revision>
  <dcterms:created xsi:type="dcterms:W3CDTF">2024-05-10T01:57:00Z</dcterms:created>
  <dcterms:modified xsi:type="dcterms:W3CDTF">2025-05-07T10:29:00Z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eyJoZGlkIjoiMzdiMjUxYmM0NjAwOGU4MWVjNTJiOWI5OTk1YzAxYTYiLCJ1c2VySWQiOiIxNjIyNzYwMTM5In0=</vt:lpwstr>
  </property>
  <property fmtid="{D5CDD505-2E9C-101B-9397-08002B2CF9AE}" pid="3" name="KSOProductBuildVer">
    <vt:lpwstr>2052-12.1.0.19770</vt:lpwstr>
  </property>
  <property fmtid="{D5CDD505-2E9C-101B-9397-08002B2CF9AE}" pid="4" name="ICV">
    <vt:lpwstr>2C2089DFB1E448CAA484974245C5216F_13</vt:lpwstr>
  </property>
</Properties>
</file>